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4903" w14:textId="77777777" w:rsidR="00AA4890" w:rsidRDefault="00AA4890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>
        <w:rPr>
          <w:rFonts w:ascii="Cambria" w:hAnsi="Cambria"/>
          <w:b/>
          <w:bCs/>
          <w:sz w:val="24"/>
          <w:szCs w:val="24"/>
          <w:lang w:val="sr-Latn-ME"/>
        </w:rPr>
        <w:t xml:space="preserve">INICIJATIVA </w:t>
      </w:r>
    </w:p>
    <w:p w14:paraId="6CE7FA19" w14:textId="77777777" w:rsidR="00AA4890" w:rsidRDefault="00AA4890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039B71CF" w14:textId="3334A935" w:rsidR="001C3997" w:rsidRPr="001D7E68" w:rsidRDefault="00AA4890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>
        <w:rPr>
          <w:rFonts w:ascii="Cambria" w:hAnsi="Cambria"/>
          <w:b/>
          <w:bCs/>
          <w:sz w:val="24"/>
          <w:szCs w:val="24"/>
          <w:lang w:val="sr-Latn-ME"/>
        </w:rPr>
        <w:t xml:space="preserve">za izmjene i dopune </w:t>
      </w:r>
    </w:p>
    <w:p w14:paraId="081F83E8" w14:textId="77777777" w:rsidR="001D7E68" w:rsidRPr="001D7E68" w:rsidRDefault="001D7E68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3E46DBF7" w14:textId="14D33017" w:rsidR="001D7E68" w:rsidRPr="001D7E68" w:rsidRDefault="00685D32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 w:rsidRPr="001D7E68">
        <w:rPr>
          <w:rFonts w:ascii="Cambria" w:hAnsi="Cambria"/>
          <w:b/>
          <w:bCs/>
          <w:sz w:val="24"/>
          <w:szCs w:val="24"/>
          <w:lang w:val="sr-Latn-ME"/>
        </w:rPr>
        <w:t>Zakon</w:t>
      </w:r>
      <w:r w:rsidR="00AA4890">
        <w:rPr>
          <w:rFonts w:ascii="Cambria" w:hAnsi="Cambria"/>
          <w:b/>
          <w:bCs/>
          <w:sz w:val="24"/>
          <w:szCs w:val="24"/>
          <w:lang w:val="sr-Latn-ME"/>
        </w:rPr>
        <w:t>a</w:t>
      </w:r>
      <w:r w:rsidRPr="001D7E68">
        <w:rPr>
          <w:rFonts w:ascii="Cambria" w:hAnsi="Cambria"/>
          <w:b/>
          <w:bCs/>
          <w:sz w:val="24"/>
          <w:szCs w:val="24"/>
          <w:lang w:val="sr-Latn-ME"/>
        </w:rPr>
        <w:t xml:space="preserve"> o </w:t>
      </w:r>
      <w:r w:rsidR="00842A6E">
        <w:rPr>
          <w:rFonts w:ascii="Cambria" w:hAnsi="Cambria"/>
          <w:b/>
          <w:bCs/>
          <w:sz w:val="24"/>
          <w:szCs w:val="24"/>
          <w:lang w:val="sr-Latn-ME"/>
        </w:rPr>
        <w:t>poreskoj administraciji</w:t>
      </w:r>
    </w:p>
    <w:p w14:paraId="6A1F27C8" w14:textId="77777777" w:rsidR="001D7E68" w:rsidRPr="001D7E68" w:rsidRDefault="001D7E68" w:rsidP="001D7E68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1A48229F" w14:textId="0E2FEA46" w:rsidR="00B42E47" w:rsidRDefault="00B42E47" w:rsidP="00B42E47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7FA662B9" w14:textId="54F8726D" w:rsidR="00B42E47" w:rsidRDefault="00B42E47" w:rsidP="00B42E47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Član 1</w:t>
      </w:r>
    </w:p>
    <w:p w14:paraId="7D57338D" w14:textId="77777777" w:rsidR="00B42E47" w:rsidRDefault="00B42E47" w:rsidP="00B42E47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0388B4C0" w14:textId="136B6C11" w:rsidR="00C43280" w:rsidRDefault="00B42E47" w:rsidP="00B62A91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U Zakonu o </w:t>
      </w:r>
      <w:r w:rsidR="00A449FC">
        <w:rPr>
          <w:rFonts w:ascii="Cambria" w:hAnsi="Cambria"/>
          <w:sz w:val="24"/>
          <w:szCs w:val="24"/>
          <w:lang w:val="sr-Latn-ME"/>
        </w:rPr>
        <w:t>poreskoj administraciji</w:t>
      </w:r>
      <w:r>
        <w:rPr>
          <w:rFonts w:ascii="Cambria" w:hAnsi="Cambria"/>
          <w:sz w:val="24"/>
          <w:szCs w:val="24"/>
          <w:lang w:val="sr-Latn-ME"/>
        </w:rPr>
        <w:t xml:space="preserve"> („Sl.list </w:t>
      </w:r>
      <w:r w:rsidR="0094619B">
        <w:rPr>
          <w:rFonts w:ascii="Cambria" w:hAnsi="Cambria"/>
          <w:sz w:val="24"/>
          <w:szCs w:val="24"/>
          <w:lang w:val="sr-Latn-ME"/>
        </w:rPr>
        <w:t>R</w:t>
      </w:r>
      <w:r>
        <w:rPr>
          <w:rFonts w:ascii="Cambria" w:hAnsi="Cambria"/>
          <w:sz w:val="24"/>
          <w:szCs w:val="24"/>
          <w:lang w:val="sr-Latn-ME"/>
        </w:rPr>
        <w:t xml:space="preserve">CG“, </w:t>
      </w:r>
      <w:r w:rsidR="0094619B" w:rsidRPr="0094619B">
        <w:rPr>
          <w:rFonts w:ascii="Cambria" w:hAnsi="Cambria"/>
          <w:sz w:val="24"/>
          <w:szCs w:val="24"/>
          <w:lang w:val="sr-Latn-ME"/>
        </w:rPr>
        <w:t>br. 65/01, 80/</w:t>
      </w:r>
      <w:r w:rsidR="0094619B">
        <w:rPr>
          <w:rFonts w:ascii="Cambria" w:hAnsi="Cambria"/>
          <w:sz w:val="24"/>
          <w:szCs w:val="24"/>
          <w:lang w:val="sr-Latn-ME"/>
        </w:rPr>
        <w:t>4</w:t>
      </w:r>
      <w:r w:rsidR="0094619B" w:rsidRPr="0094619B">
        <w:rPr>
          <w:rFonts w:ascii="Cambria" w:hAnsi="Cambria"/>
          <w:sz w:val="24"/>
          <w:szCs w:val="24"/>
          <w:lang w:val="sr-Latn-ME"/>
        </w:rPr>
        <w:t>0, 29/05, "Sl</w:t>
      </w:r>
      <w:r w:rsidR="0094619B">
        <w:rPr>
          <w:rFonts w:ascii="Cambria" w:hAnsi="Cambria"/>
          <w:sz w:val="24"/>
          <w:szCs w:val="24"/>
          <w:lang w:val="sr-Latn-ME"/>
        </w:rPr>
        <w:t>.</w:t>
      </w:r>
      <w:r w:rsidR="0094619B" w:rsidRPr="0094619B">
        <w:rPr>
          <w:rFonts w:ascii="Cambria" w:hAnsi="Cambria"/>
          <w:sz w:val="24"/>
          <w:szCs w:val="24"/>
          <w:lang w:val="sr-Latn-ME"/>
        </w:rPr>
        <w:t xml:space="preserve"> list CG", br. 73/10, 20/11</w:t>
      </w:r>
      <w:r w:rsidR="00B62A91">
        <w:rPr>
          <w:rFonts w:ascii="Cambria" w:hAnsi="Cambria"/>
          <w:sz w:val="24"/>
          <w:szCs w:val="24"/>
          <w:lang w:val="sr-Latn-ME"/>
        </w:rPr>
        <w:t>....</w:t>
      </w:r>
      <w:r w:rsidR="0094619B" w:rsidRPr="0094619B">
        <w:rPr>
          <w:rFonts w:ascii="Cambria" w:hAnsi="Cambria"/>
          <w:sz w:val="24"/>
          <w:szCs w:val="24"/>
          <w:lang w:val="sr-Latn-ME"/>
        </w:rPr>
        <w:t>145/21</w:t>
      </w:r>
      <w:r>
        <w:rPr>
          <w:rFonts w:ascii="Cambria" w:hAnsi="Cambria"/>
          <w:sz w:val="24"/>
          <w:szCs w:val="24"/>
          <w:lang w:val="sr-Latn-ME"/>
        </w:rPr>
        <w:t xml:space="preserve">) </w:t>
      </w:r>
      <w:r w:rsidR="00C43280">
        <w:rPr>
          <w:rFonts w:ascii="Cambria" w:hAnsi="Cambria"/>
          <w:sz w:val="24"/>
          <w:szCs w:val="24"/>
          <w:lang w:val="sr-Latn-ME"/>
        </w:rPr>
        <w:t xml:space="preserve"> u članu 2 u stavu 1</w:t>
      </w:r>
      <w:r w:rsidR="000E142F">
        <w:rPr>
          <w:rFonts w:ascii="Cambria" w:hAnsi="Cambria"/>
          <w:sz w:val="24"/>
          <w:szCs w:val="24"/>
          <w:lang w:val="sr-Latn-ME"/>
        </w:rPr>
        <w:t xml:space="preserve"> poslije riječi: „poreskog obveznika“ dodaje se zarez i riječi: „ako </w:t>
      </w:r>
      <w:r w:rsidR="001249D7">
        <w:rPr>
          <w:rFonts w:ascii="Cambria" w:hAnsi="Cambria"/>
          <w:sz w:val="24"/>
          <w:szCs w:val="24"/>
          <w:lang w:val="sr-Latn-ME"/>
        </w:rPr>
        <w:t>n</w:t>
      </w:r>
      <w:r w:rsidR="000E142F">
        <w:rPr>
          <w:rFonts w:ascii="Cambria" w:hAnsi="Cambria"/>
          <w:sz w:val="24"/>
          <w:szCs w:val="24"/>
          <w:lang w:val="sr-Latn-ME"/>
        </w:rPr>
        <w:t>ije drugačije propisano</w:t>
      </w:r>
      <w:r w:rsidR="001249D7">
        <w:rPr>
          <w:rFonts w:ascii="Cambria" w:hAnsi="Cambria"/>
          <w:sz w:val="24"/>
          <w:szCs w:val="24"/>
          <w:lang w:val="sr-Latn-ME"/>
        </w:rPr>
        <w:t xml:space="preserve"> zakonom kojim se uređuju</w:t>
      </w:r>
      <w:r w:rsidR="006230A5">
        <w:rPr>
          <w:rFonts w:ascii="Cambria" w:hAnsi="Cambria"/>
          <w:sz w:val="24"/>
          <w:szCs w:val="24"/>
          <w:lang w:val="sr-Latn-ME"/>
        </w:rPr>
        <w:t xml:space="preserve"> pojedini </w:t>
      </w:r>
      <w:r w:rsidR="001249D7">
        <w:rPr>
          <w:rFonts w:ascii="Cambria" w:hAnsi="Cambria"/>
          <w:sz w:val="24"/>
          <w:szCs w:val="24"/>
          <w:lang w:val="sr-Latn-ME"/>
        </w:rPr>
        <w:t>javni prihod</w:t>
      </w:r>
      <w:r w:rsidR="00031728">
        <w:rPr>
          <w:rFonts w:ascii="Cambria" w:hAnsi="Cambria"/>
          <w:sz w:val="24"/>
          <w:szCs w:val="24"/>
          <w:lang w:val="sr-Latn-ME"/>
        </w:rPr>
        <w:t>i</w:t>
      </w:r>
      <w:r w:rsidR="000E142F">
        <w:rPr>
          <w:rFonts w:ascii="Cambria" w:hAnsi="Cambria"/>
          <w:sz w:val="24"/>
          <w:szCs w:val="24"/>
          <w:lang w:val="sr-Latn-ME"/>
        </w:rPr>
        <w:t>“.</w:t>
      </w:r>
    </w:p>
    <w:p w14:paraId="51AE4F60" w14:textId="77777777" w:rsidR="00C43280" w:rsidRDefault="00C43280" w:rsidP="00B62A91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454EACAF" w14:textId="13AB7A86" w:rsidR="00C43280" w:rsidRDefault="00C43280" w:rsidP="00BF7EED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Obrazloženje</w:t>
      </w:r>
    </w:p>
    <w:p w14:paraId="62E7520F" w14:textId="52046448" w:rsidR="00C43280" w:rsidRPr="006E21F4" w:rsidRDefault="00C43280" w:rsidP="00B62A91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sr-Latn-ME"/>
        </w:rPr>
      </w:pPr>
      <w:r w:rsidRPr="006E21F4">
        <w:rPr>
          <w:rFonts w:ascii="Cambria" w:hAnsi="Cambria"/>
          <w:i/>
          <w:iCs/>
          <w:sz w:val="24"/>
          <w:szCs w:val="24"/>
          <w:lang w:val="sr-Latn-ME"/>
        </w:rPr>
        <w:t>Članom 2 stav 1 zakona propisano je:</w:t>
      </w:r>
    </w:p>
    <w:p w14:paraId="3680A972" w14:textId="1D67E194" w:rsidR="00C43280" w:rsidRPr="006E21F4" w:rsidRDefault="00C43280" w:rsidP="00B62A91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val="pl-PL"/>
        </w:rPr>
      </w:pPr>
      <w:r w:rsidRPr="006E21F4">
        <w:rPr>
          <w:rFonts w:ascii="Cambria" w:hAnsi="Cambria"/>
          <w:i/>
          <w:iCs/>
          <w:sz w:val="24"/>
          <w:szCs w:val="24"/>
          <w:lang w:val="sr-Latn-ME"/>
        </w:rPr>
        <w:t>„</w:t>
      </w:r>
      <w:r w:rsidRPr="006E21F4">
        <w:rPr>
          <w:rFonts w:ascii="Cambria" w:hAnsi="Cambria"/>
          <w:i/>
          <w:iCs/>
          <w:sz w:val="24"/>
          <w:szCs w:val="24"/>
          <w:lang w:val="pl-PL"/>
        </w:rPr>
        <w:t>(1) Po ovom zakonu dužni su da postupaju državni i organi jedinica lokalne samouprave kada odlučuju o pravima i obavezama poreskog obveznika.</w:t>
      </w:r>
      <w:r w:rsidR="000E142F" w:rsidRPr="006E21F4">
        <w:rPr>
          <w:rFonts w:ascii="Cambria" w:hAnsi="Cambria"/>
          <w:i/>
          <w:iCs/>
          <w:sz w:val="24"/>
          <w:szCs w:val="24"/>
          <w:lang w:val="pl-PL"/>
        </w:rPr>
        <w:t>”</w:t>
      </w:r>
    </w:p>
    <w:p w14:paraId="1A72E082" w14:textId="77777777" w:rsidR="00CD2F47" w:rsidRDefault="00CD2F47" w:rsidP="00B62A91">
      <w:pPr>
        <w:spacing w:after="0" w:line="240" w:lineRule="auto"/>
        <w:jc w:val="both"/>
        <w:rPr>
          <w:rFonts w:ascii="Cambria" w:hAnsi="Cambria"/>
          <w:sz w:val="24"/>
          <w:szCs w:val="24"/>
          <w:lang w:val="pl-PL"/>
        </w:rPr>
      </w:pPr>
    </w:p>
    <w:p w14:paraId="662C09D5" w14:textId="080908F3" w:rsidR="000E142F" w:rsidRDefault="000E142F" w:rsidP="00B62A91">
      <w:pPr>
        <w:spacing w:after="0" w:line="240" w:lineRule="auto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Budući da je ovaj zakon u najvećem dijelu neprilagođen lokalnim poreskim organima, </w:t>
      </w:r>
      <w:r w:rsidR="002C00DB">
        <w:rPr>
          <w:rFonts w:ascii="Cambria" w:hAnsi="Cambria"/>
          <w:sz w:val="24"/>
          <w:szCs w:val="24"/>
          <w:lang w:val="pl-PL"/>
        </w:rPr>
        <w:t xml:space="preserve">predloženom dopunom se </w:t>
      </w:r>
      <w:r>
        <w:rPr>
          <w:rFonts w:ascii="Cambria" w:hAnsi="Cambria"/>
          <w:sz w:val="24"/>
          <w:szCs w:val="24"/>
          <w:lang w:val="pl-PL"/>
        </w:rPr>
        <w:t>upućuj</w:t>
      </w:r>
      <w:r w:rsidR="002C00DB">
        <w:rPr>
          <w:rFonts w:ascii="Cambria" w:hAnsi="Cambria"/>
          <w:sz w:val="24"/>
          <w:szCs w:val="24"/>
          <w:lang w:val="pl-PL"/>
        </w:rPr>
        <w:t>e na poseban zakon kojim se ure</w:t>
      </w:r>
      <w:r w:rsidR="00BE1D32">
        <w:rPr>
          <w:rFonts w:ascii="Cambria" w:hAnsi="Cambria"/>
          <w:sz w:val="24"/>
          <w:szCs w:val="24"/>
          <w:lang w:val="pl-PL"/>
        </w:rPr>
        <w:t xml:space="preserve">đuju specifična pitanja postupka utvrđivanja, kontrole i naplate </w:t>
      </w:r>
      <w:r w:rsidR="00DB2042">
        <w:rPr>
          <w:rFonts w:ascii="Cambria" w:hAnsi="Cambria"/>
          <w:sz w:val="24"/>
          <w:szCs w:val="24"/>
          <w:lang w:val="pl-PL"/>
        </w:rPr>
        <w:t>pojedinih vrsta javnih prihoda</w:t>
      </w:r>
      <w:r w:rsidR="00BE1D32">
        <w:rPr>
          <w:rFonts w:ascii="Cambria" w:hAnsi="Cambria"/>
          <w:sz w:val="24"/>
          <w:szCs w:val="24"/>
          <w:lang w:val="pl-PL"/>
        </w:rPr>
        <w:t>.</w:t>
      </w:r>
      <w:r w:rsidR="002C00DB">
        <w:rPr>
          <w:rFonts w:ascii="Cambria" w:hAnsi="Cambria"/>
          <w:sz w:val="24"/>
          <w:szCs w:val="24"/>
          <w:lang w:val="pl-PL"/>
        </w:rPr>
        <w:t xml:space="preserve"> </w:t>
      </w:r>
    </w:p>
    <w:p w14:paraId="4FA88A96" w14:textId="77777777" w:rsidR="000E142F" w:rsidRPr="00C43280" w:rsidRDefault="000E142F" w:rsidP="00B62A91">
      <w:pPr>
        <w:spacing w:after="0" w:line="240" w:lineRule="auto"/>
        <w:jc w:val="both"/>
        <w:rPr>
          <w:rFonts w:ascii="Cambria" w:hAnsi="Cambria"/>
          <w:sz w:val="24"/>
          <w:szCs w:val="24"/>
          <w:lang w:val="pl-PL"/>
        </w:rPr>
      </w:pPr>
    </w:p>
    <w:p w14:paraId="1DD7BF73" w14:textId="2FD02914" w:rsidR="00C43280" w:rsidRDefault="00C43280" w:rsidP="00BF7EED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Član</w:t>
      </w:r>
      <w:r w:rsidR="00AA4890">
        <w:rPr>
          <w:rFonts w:ascii="Cambria" w:hAnsi="Cambria"/>
          <w:sz w:val="24"/>
          <w:szCs w:val="24"/>
          <w:lang w:val="sr-Latn-ME"/>
        </w:rPr>
        <w:t xml:space="preserve"> 2</w:t>
      </w:r>
    </w:p>
    <w:p w14:paraId="53161AA1" w14:textId="587DBB6D" w:rsidR="00B62A91" w:rsidRDefault="00BE1D32" w:rsidP="00B62A91">
      <w:pPr>
        <w:spacing w:after="0"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U</w:t>
      </w:r>
      <w:r w:rsidR="00B62A91">
        <w:rPr>
          <w:rFonts w:ascii="Cambria" w:hAnsi="Cambria"/>
          <w:sz w:val="24"/>
          <w:szCs w:val="24"/>
          <w:lang w:val="sr-Latn-ME"/>
        </w:rPr>
        <w:t xml:space="preserve"> </w:t>
      </w:r>
      <w:r w:rsidR="00B62A91" w:rsidRPr="000962A2">
        <w:rPr>
          <w:rFonts w:ascii="Cambria" w:hAnsi="Cambria" w:cs="Calibri"/>
          <w:sz w:val="24"/>
          <w:szCs w:val="24"/>
          <w:lang w:val="sr-Latn-ME"/>
        </w:rPr>
        <w:t xml:space="preserve">članu 16a poslije stava 1 dodaje se novi stav </w:t>
      </w:r>
      <w:r w:rsidR="00B10C80">
        <w:rPr>
          <w:rFonts w:ascii="Cambria" w:hAnsi="Cambria" w:cs="Calibri"/>
          <w:sz w:val="24"/>
          <w:szCs w:val="24"/>
          <w:lang w:val="sr-Latn-ME"/>
        </w:rPr>
        <w:t xml:space="preserve">2 </w:t>
      </w:r>
      <w:r w:rsidR="00B62A91" w:rsidRPr="000962A2">
        <w:rPr>
          <w:rFonts w:ascii="Cambria" w:hAnsi="Cambria" w:cs="Calibri"/>
          <w:sz w:val="24"/>
          <w:szCs w:val="24"/>
          <w:lang w:val="sr-Latn-ME"/>
        </w:rPr>
        <w:t>koji glasi:</w:t>
      </w:r>
    </w:p>
    <w:p w14:paraId="5BBA29E6" w14:textId="77777777" w:rsidR="00495B07" w:rsidRPr="000962A2" w:rsidRDefault="00495B07" w:rsidP="00B62A91">
      <w:pPr>
        <w:spacing w:after="0"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</w:p>
    <w:p w14:paraId="120861FE" w14:textId="70B25D8A" w:rsidR="00B62A91" w:rsidRPr="000962A2" w:rsidRDefault="00B62A91" w:rsidP="00B62A91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“Zavod za zapošljavanje Crne Gore i Fond</w:t>
      </w:r>
      <w:r w:rsidR="00A449FC">
        <w:rPr>
          <w:rFonts w:ascii="Cambria" w:hAnsi="Cambria" w:cs="Calibri"/>
          <w:sz w:val="24"/>
          <w:szCs w:val="24"/>
          <w:lang w:val="sr-Latn-ME"/>
        </w:rPr>
        <w:t xml:space="preserve"> za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penzijsko invalidskog osiguranja dužni su da sa poreskim organom razmjenjuju lične podatke o licima koja su poreski obveznici, a koja se nalaze u javnim registrima i evidencijama, odnosno bazama podataka  tih subjekata.</w:t>
      </w:r>
      <w:r>
        <w:rPr>
          <w:rFonts w:ascii="Cambria" w:hAnsi="Cambria" w:cs="Calibri"/>
          <w:sz w:val="24"/>
          <w:szCs w:val="24"/>
          <w:lang w:val="sr-Latn-ME"/>
        </w:rPr>
        <w:t>“</w:t>
      </w:r>
    </w:p>
    <w:p w14:paraId="117067F3" w14:textId="77777777" w:rsidR="00495B07" w:rsidRDefault="00495B07" w:rsidP="00B62A91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</w:p>
    <w:p w14:paraId="3B2289EB" w14:textId="0FE64EF9" w:rsidR="00B62A91" w:rsidRPr="00495B07" w:rsidRDefault="00B62A91" w:rsidP="00B62A91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 w:rsidRPr="00495B07">
        <w:rPr>
          <w:rFonts w:ascii="Cambria" w:hAnsi="Cambria" w:cs="Calibri"/>
          <w:sz w:val="24"/>
          <w:szCs w:val="24"/>
          <w:lang w:val="sr-Latn-ME"/>
        </w:rPr>
        <w:t>Obrazloženje</w:t>
      </w:r>
    </w:p>
    <w:p w14:paraId="459EC318" w14:textId="21403D20" w:rsidR="007F7766" w:rsidRPr="006E21F4" w:rsidRDefault="007F7766" w:rsidP="00B62A91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sr-Latn-ME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Članom 16a važećeg Zakona o poreskoj administraciji utvrđeno je da su poreski organ i jedinica lokalne samouprave dužni da razmjenjuju službene podatke potrebne za ostvarivanje njihovih funkcija u skladu sa zakonom. </w:t>
      </w:r>
    </w:p>
    <w:p w14:paraId="3711BD43" w14:textId="51A1C210" w:rsidR="00B62A91" w:rsidRPr="000962A2" w:rsidRDefault="00B62A91" w:rsidP="00B62A91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 xml:space="preserve">U dosadašnjoj praksi uočeno je da su lični podaci iz javnih registara i evidencija (JMBG, adresa), koji se inače razmjenjuju po službenoj dužnosti, često netačni, pa poreski organ ne može da identifikuje određene poreske obveznike - fizička lica ili im ne može dostaviti poresko rješenje, a samim tim ni izvršiti zbog nepoznate odrese. Te podatke moguće je ukrstiti sa podacima Zavoda za zapošljavanje (za poreske obveznike-nezaposlena lica) i podacima Fonda PIO (za poreske obveznike – penzionere),  jer vrsta usluga koju pružaju te institucije garantuje tačnost ličnih podataka spornih poreskih obveznika koje te institucije obrađuju. Treća kategorija poreskih obveznika (zaposlena lica) već se nalaze u bazi centralnog poreskog organa sa kojim je razmjena podataka propisana ovim članom. </w:t>
      </w:r>
    </w:p>
    <w:p w14:paraId="3E96725B" w14:textId="16B8A5EB" w:rsidR="00B62A91" w:rsidRPr="000962A2" w:rsidRDefault="00B62A91" w:rsidP="00B62A91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lastRenderedPageBreak/>
        <w:t>Potreba propisivanja obaveze razmjene ličnih podataka sa navedenim institucijama proizilazi iz Zakona o zaštiti podataka o ličnosti</w:t>
      </w:r>
      <w:r>
        <w:rPr>
          <w:rFonts w:ascii="Cambria" w:hAnsi="Cambria" w:cs="Calibri"/>
          <w:sz w:val="24"/>
          <w:szCs w:val="24"/>
          <w:lang w:val="sr-Latn-ME"/>
        </w:rPr>
        <w:t xml:space="preserve"> čijom primjenom bi se lokalni poreski organ pojavio u ulozi korisnika ličnih podataka</w:t>
      </w:r>
      <w:r w:rsidRPr="000962A2">
        <w:rPr>
          <w:rFonts w:ascii="Cambria" w:hAnsi="Cambria" w:cs="Calibri"/>
          <w:sz w:val="24"/>
          <w:szCs w:val="24"/>
          <w:lang w:val="sr-Latn-ME"/>
        </w:rPr>
        <w:t>.</w:t>
      </w:r>
      <w:r>
        <w:rPr>
          <w:rFonts w:ascii="Cambria" w:hAnsi="Cambria" w:cs="Calibri"/>
          <w:sz w:val="24"/>
          <w:szCs w:val="24"/>
          <w:lang w:val="sr-Latn-ME"/>
        </w:rPr>
        <w:t xml:space="preserve"> Korisnik, u skladu sa članom 9 tač.</w:t>
      </w:r>
      <w:r w:rsidR="00495B07">
        <w:rPr>
          <w:rFonts w:ascii="Cambria" w:hAnsi="Cambria" w:cs="Calibri"/>
          <w:sz w:val="24"/>
          <w:szCs w:val="24"/>
          <w:lang w:val="sr-Latn-ME"/>
        </w:rPr>
        <w:t>4, članom 10 st.2 tač.4 i članom 17 tog zakona, mora imati osnov za njihovo korišćenje utvrđen posabnim zakonom, u konkretnom Zakonom o poreskoj administraciji.</w:t>
      </w:r>
    </w:p>
    <w:p w14:paraId="001DDB30" w14:textId="77777777" w:rsidR="00A449FC" w:rsidRDefault="00A449FC" w:rsidP="00B62A91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</w:p>
    <w:p w14:paraId="63DD5444" w14:textId="1867D2DF" w:rsidR="00495B07" w:rsidRDefault="00495B07" w:rsidP="00B62A91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Član</w:t>
      </w:r>
      <w:r w:rsidR="00AA4890">
        <w:rPr>
          <w:rFonts w:ascii="Cambria" w:hAnsi="Cambria" w:cs="Calibri"/>
          <w:sz w:val="24"/>
          <w:szCs w:val="24"/>
          <w:lang w:val="sr-Latn-ME"/>
        </w:rPr>
        <w:t xml:space="preserve"> 3</w:t>
      </w:r>
    </w:p>
    <w:p w14:paraId="6D26A6C5" w14:textId="14F4F9C0" w:rsidR="00876B7E" w:rsidRDefault="00876B7E" w:rsidP="00876B7E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U članu 5 u stavu 3 riječi: „uvodi jedinica lokalne samouprave“ zamjenjuju se riječima: „</w:t>
      </w:r>
      <w:r w:rsidR="008B32A3">
        <w:rPr>
          <w:rFonts w:ascii="Cambria" w:hAnsi="Cambria" w:cs="Calibri"/>
          <w:sz w:val="24"/>
          <w:szCs w:val="24"/>
          <w:lang w:val="sr-Latn-ME"/>
        </w:rPr>
        <w:t xml:space="preserve">koji </w:t>
      </w:r>
      <w:r w:rsidR="007D3221">
        <w:rPr>
          <w:rFonts w:ascii="Cambria" w:hAnsi="Cambria" w:cs="Calibri"/>
          <w:sz w:val="24"/>
          <w:szCs w:val="24"/>
          <w:lang w:val="sr-Latn-ME"/>
        </w:rPr>
        <w:t>su prihodi jedinice lokalne samouprave“</w:t>
      </w:r>
      <w:r>
        <w:rPr>
          <w:rFonts w:ascii="Cambria" w:hAnsi="Cambria" w:cs="Calibri"/>
          <w:sz w:val="24"/>
          <w:szCs w:val="24"/>
          <w:lang w:val="sr-Latn-ME"/>
        </w:rPr>
        <w:t>.</w:t>
      </w:r>
    </w:p>
    <w:p w14:paraId="49E475D5" w14:textId="66D44051" w:rsidR="007D3221" w:rsidRDefault="007D3221" w:rsidP="00BF7EED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Obrazloženje</w:t>
      </w:r>
    </w:p>
    <w:p w14:paraId="5DD20F7F" w14:textId="005A03DC" w:rsidR="007D3221" w:rsidRPr="006E21F4" w:rsidRDefault="007D3221" w:rsidP="00876B7E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sr-Latn-ME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Članom 5 stav 3 propisano je:</w:t>
      </w:r>
    </w:p>
    <w:p w14:paraId="6F8FFF94" w14:textId="40D67E09" w:rsidR="00EE6641" w:rsidRPr="006E21F4" w:rsidRDefault="007D3221" w:rsidP="00876B7E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pl-PL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„(3)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Poslove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utvr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đ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ivanja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,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naplate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i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kontrole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poreza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koje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uvodi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jedinica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lokalne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samouprave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vr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š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i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nadle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ž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ni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organ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lokalne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Pr="006E21F4">
        <w:rPr>
          <w:rFonts w:ascii="Cambria" w:hAnsi="Cambria" w:cs="Calibri"/>
          <w:i/>
          <w:iCs/>
          <w:sz w:val="24"/>
          <w:szCs w:val="24"/>
          <w:lang w:val="pl-PL"/>
        </w:rPr>
        <w:t>uprave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.”</w:t>
      </w:r>
    </w:p>
    <w:p w14:paraId="4E4C0F16" w14:textId="4FBF8C10" w:rsidR="00EE6641" w:rsidRPr="00EE6641" w:rsidRDefault="00EE6641" w:rsidP="00876B7E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pl-PL"/>
        </w:rPr>
        <w:t>Izmjena ovog stava predložena je radi usaglašavanja sa Ustavom Crne Gore kojim je propisano da se porezi uvode zakonom</w:t>
      </w:r>
      <w:r w:rsidR="009E08C5">
        <w:rPr>
          <w:rFonts w:ascii="Cambria" w:hAnsi="Cambria" w:cs="Calibri"/>
          <w:sz w:val="24"/>
          <w:szCs w:val="24"/>
          <w:lang w:val="pl-PL"/>
        </w:rPr>
        <w:t xml:space="preserve"> a ne odlukama jedinice lokalne samouprave.</w:t>
      </w:r>
    </w:p>
    <w:p w14:paraId="7439B9AF" w14:textId="77777777" w:rsidR="007D3221" w:rsidRPr="00EE6641" w:rsidRDefault="007D3221" w:rsidP="00876B7E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</w:p>
    <w:p w14:paraId="76820692" w14:textId="52C2F6E3" w:rsidR="00097926" w:rsidRDefault="007D3221" w:rsidP="00BF7EED">
      <w:pPr>
        <w:spacing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pl-PL"/>
        </w:rPr>
        <w:t>Član</w:t>
      </w:r>
      <w:r w:rsidR="001D6BD3">
        <w:rPr>
          <w:rFonts w:ascii="Cambria" w:hAnsi="Cambria" w:cs="Calibri"/>
          <w:sz w:val="24"/>
          <w:szCs w:val="24"/>
          <w:lang w:val="pl-PL"/>
        </w:rPr>
        <w:t xml:space="preserve"> 4</w:t>
      </w:r>
    </w:p>
    <w:p w14:paraId="0A7183E8" w14:textId="0E0717C0" w:rsidR="000471E7" w:rsidRDefault="00097926" w:rsidP="00495B07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U članu 24 </w:t>
      </w:r>
      <w:r w:rsidR="00EB62C8">
        <w:rPr>
          <w:rFonts w:ascii="Cambria" w:eastAsia="Calibri" w:hAnsi="Cambria" w:cs="Times New Roman"/>
          <w:sz w:val="24"/>
          <w:szCs w:val="24"/>
          <w:lang w:val="sr-Latn-ME"/>
        </w:rPr>
        <w:t xml:space="preserve">poslije stava </w:t>
      </w:r>
      <w:r w:rsidR="006B6A3E">
        <w:rPr>
          <w:rFonts w:ascii="Cambria" w:eastAsia="Calibri" w:hAnsi="Cambria" w:cs="Times New Roman"/>
          <w:sz w:val="24"/>
          <w:szCs w:val="24"/>
          <w:lang w:val="sr-Latn-ME"/>
        </w:rPr>
        <w:t>3</w:t>
      </w:r>
      <w:r w:rsidR="00EB62C8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val="sr-Latn-ME"/>
        </w:rPr>
        <w:t>doda</w:t>
      </w:r>
      <w:r w:rsidR="00A449FC">
        <w:rPr>
          <w:rFonts w:ascii="Cambria" w:eastAsia="Calibri" w:hAnsi="Cambria" w:cs="Times New Roman"/>
          <w:sz w:val="24"/>
          <w:szCs w:val="24"/>
          <w:lang w:val="sr-Latn-ME"/>
        </w:rPr>
        <w:t>je se</w:t>
      </w: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 novi stav </w:t>
      </w:r>
      <w:r w:rsidR="004C3547">
        <w:rPr>
          <w:rFonts w:ascii="Cambria" w:eastAsia="Calibri" w:hAnsi="Cambria" w:cs="Times New Roman"/>
          <w:sz w:val="24"/>
          <w:szCs w:val="24"/>
          <w:lang w:val="sr-Latn-ME"/>
        </w:rPr>
        <w:t xml:space="preserve">4 </w:t>
      </w:r>
      <w:r>
        <w:rPr>
          <w:rFonts w:ascii="Cambria" w:eastAsia="Calibri" w:hAnsi="Cambria" w:cs="Times New Roman"/>
          <w:sz w:val="24"/>
          <w:szCs w:val="24"/>
          <w:lang w:val="sr-Latn-ME"/>
        </w:rPr>
        <w:t>koji glasi:</w:t>
      </w:r>
    </w:p>
    <w:p w14:paraId="5333F515" w14:textId="2F78F117" w:rsidR="00097926" w:rsidRDefault="00097926" w:rsidP="00495B07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 „</w:t>
      </w:r>
      <w:r w:rsidR="006B6A3E">
        <w:rPr>
          <w:rFonts w:ascii="Cambria" w:eastAsia="Calibri" w:hAnsi="Cambria" w:cs="Times New Roman"/>
          <w:sz w:val="24"/>
          <w:szCs w:val="24"/>
          <w:lang w:val="sr-Latn-ME"/>
        </w:rPr>
        <w:t>(4)</w:t>
      </w:r>
      <w:r w:rsidRPr="00B31BB3">
        <w:rPr>
          <w:rFonts w:ascii="Cambria" w:eastAsia="Calibri" w:hAnsi="Cambria" w:cs="Times New Roman"/>
          <w:sz w:val="24"/>
          <w:szCs w:val="24"/>
          <w:lang w:val="sr-Latn-ME"/>
        </w:rPr>
        <w:t xml:space="preserve">Ovlašćeno službeno lice </w:t>
      </w:r>
      <w:r w:rsidR="006B6A3E">
        <w:rPr>
          <w:rFonts w:ascii="Cambria" w:eastAsia="Calibri" w:hAnsi="Cambria" w:cs="Times New Roman"/>
          <w:sz w:val="24"/>
          <w:szCs w:val="24"/>
          <w:lang w:val="sr-Latn-ME"/>
        </w:rPr>
        <w:t xml:space="preserve">jedinice lokalne samouprave </w:t>
      </w:r>
      <w:r w:rsidRPr="00B31BB3">
        <w:rPr>
          <w:rFonts w:ascii="Cambria" w:eastAsia="Calibri" w:hAnsi="Cambria" w:cs="Times New Roman"/>
          <w:sz w:val="24"/>
          <w:szCs w:val="24"/>
          <w:lang w:val="sr-Latn-ME"/>
        </w:rPr>
        <w:t>ima pravo da pregleda nepokretnost koja je predmet oporezivanja i utvrdi činjenice od značaja za oporezivanje“.</w:t>
      </w:r>
    </w:p>
    <w:p w14:paraId="6724978A" w14:textId="77777777" w:rsidR="00495B07" w:rsidRPr="00495B07" w:rsidRDefault="00495B07" w:rsidP="00495B07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 w:rsidRPr="00495B07">
        <w:rPr>
          <w:rFonts w:ascii="Cambria" w:hAnsi="Cambria" w:cs="Calibri"/>
          <w:sz w:val="24"/>
          <w:szCs w:val="24"/>
          <w:lang w:val="sr-Latn-ME"/>
        </w:rPr>
        <w:t>Obrazloženje</w:t>
      </w:r>
    </w:p>
    <w:p w14:paraId="01D6751C" w14:textId="6C02EF8B" w:rsidR="00495B07" w:rsidRPr="006E21F4" w:rsidRDefault="00495B07" w:rsidP="00495B07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sr-Latn-ME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Članom  24 stav 1 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2 i 3 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propisan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a su 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ovlašće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nja 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službeno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>g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lic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>a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da uđe i pregleda prostoriju gdje se čuvaju ili mogu čuvati knjige i evidencije ili drugi predmeti potrebni za utvrđivanje poreske obaveze i obavlja, ili bi se mogla obavljati, bilo koja djelatnost koja podliježe oporezivanju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kao i da izvrši pretres sta</w:t>
      </w:r>
      <w:r w:rsidR="007F378F" w:rsidRPr="006E21F4">
        <w:rPr>
          <w:rFonts w:ascii="Cambria" w:hAnsi="Cambria" w:cs="Calibri"/>
          <w:i/>
          <w:iCs/>
          <w:sz w:val="24"/>
          <w:szCs w:val="24"/>
          <w:lang w:val="sr-Latn-ME"/>
        </w:rPr>
        <w:t>n</w:t>
      </w:r>
      <w:r w:rsidR="00A45281" w:rsidRPr="006E21F4">
        <w:rPr>
          <w:rFonts w:ascii="Cambria" w:hAnsi="Cambria" w:cs="Calibri"/>
          <w:i/>
          <w:iCs/>
          <w:sz w:val="24"/>
          <w:szCs w:val="24"/>
          <w:lang w:val="sr-Latn-ME"/>
        </w:rPr>
        <w:t>a po odluci suda i u prisustvu dva svjedoka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.</w:t>
      </w:r>
    </w:p>
    <w:p w14:paraId="06AEA408" w14:textId="3162D60B" w:rsidR="00C40937" w:rsidRDefault="00495B07" w:rsidP="00495B07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 xml:space="preserve">Ova odredba </w:t>
      </w:r>
      <w:r w:rsidR="00F77F73">
        <w:rPr>
          <w:rFonts w:ascii="Cambria" w:hAnsi="Cambria" w:cs="Calibri"/>
          <w:sz w:val="24"/>
          <w:szCs w:val="24"/>
          <w:lang w:val="sr-Latn-ME"/>
        </w:rPr>
        <w:t xml:space="preserve">reguliše 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 ovlašćen</w:t>
      </w:r>
      <w:r w:rsidR="00F77F73">
        <w:rPr>
          <w:rFonts w:ascii="Cambria" w:hAnsi="Cambria" w:cs="Calibri"/>
          <w:sz w:val="24"/>
          <w:szCs w:val="24"/>
          <w:lang w:val="sr-Latn-ME"/>
        </w:rPr>
        <w:t>ja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državnog poreskog organa</w:t>
      </w:r>
      <w:r w:rsidR="00097926">
        <w:rPr>
          <w:rFonts w:ascii="Cambria" w:hAnsi="Cambria" w:cs="Calibri"/>
          <w:sz w:val="24"/>
          <w:szCs w:val="24"/>
          <w:lang w:val="sr-Latn-ME"/>
        </w:rPr>
        <w:t>,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ali ne i lokalnog kada </w:t>
      </w:r>
      <w:r w:rsidR="00A808FA">
        <w:rPr>
          <w:rFonts w:ascii="Cambria" w:hAnsi="Cambria" w:cs="Calibri"/>
          <w:sz w:val="24"/>
          <w:szCs w:val="24"/>
          <w:lang w:val="sr-Latn-ME"/>
        </w:rPr>
        <w:t xml:space="preserve">vrši uviđaj </w:t>
      </w:r>
      <w:r w:rsidR="007130D8">
        <w:rPr>
          <w:rFonts w:ascii="Cambria" w:hAnsi="Cambria" w:cs="Calibri"/>
          <w:sz w:val="24"/>
          <w:szCs w:val="24"/>
          <w:lang w:val="sr-Latn-ME"/>
        </w:rPr>
        <w:t xml:space="preserve"> na licu mjesta </w:t>
      </w:r>
      <w:r w:rsidR="00F77F73">
        <w:rPr>
          <w:rFonts w:ascii="Cambria" w:hAnsi="Cambria" w:cs="Calibri"/>
          <w:sz w:val="24"/>
          <w:szCs w:val="24"/>
          <w:lang w:val="sr-Latn-ME"/>
        </w:rPr>
        <w:t xml:space="preserve">u cilju </w:t>
      </w:r>
      <w:r w:rsidR="000E737D">
        <w:rPr>
          <w:rFonts w:ascii="Cambria" w:hAnsi="Cambria" w:cs="Calibri"/>
          <w:sz w:val="24"/>
          <w:szCs w:val="24"/>
          <w:lang w:val="sr-Latn-ME"/>
        </w:rPr>
        <w:t xml:space="preserve">utvrđivanja </w:t>
      </w:r>
      <w:r w:rsidR="00BC3B6A">
        <w:rPr>
          <w:rFonts w:ascii="Cambria" w:hAnsi="Cambria" w:cs="Calibri"/>
          <w:sz w:val="24"/>
          <w:szCs w:val="24"/>
          <w:lang w:val="sr-Latn-ME"/>
        </w:rPr>
        <w:t>postojanja objekta na terenu, njegove površine, spratnosti, kvaliteta, što se vrši spoljnim pregledom</w:t>
      </w:r>
      <w:r w:rsidR="00A808FA">
        <w:rPr>
          <w:rFonts w:ascii="Cambria" w:hAnsi="Cambria" w:cs="Calibri"/>
          <w:sz w:val="24"/>
          <w:szCs w:val="24"/>
          <w:lang w:val="sr-Latn-ME"/>
        </w:rPr>
        <w:t xml:space="preserve"> </w:t>
      </w:r>
      <w:r w:rsidR="007130D8">
        <w:rPr>
          <w:rFonts w:ascii="Cambria" w:hAnsi="Cambria" w:cs="Calibri"/>
          <w:sz w:val="24"/>
          <w:szCs w:val="24"/>
          <w:lang w:val="sr-Latn-ME"/>
        </w:rPr>
        <w:t xml:space="preserve"> nepokretnosti. O</w:t>
      </w:r>
      <w:r w:rsidR="00A808FA">
        <w:rPr>
          <w:rFonts w:ascii="Cambria" w:hAnsi="Cambria" w:cs="Calibri"/>
          <w:sz w:val="24"/>
          <w:szCs w:val="24"/>
          <w:lang w:val="sr-Latn-ME"/>
        </w:rPr>
        <w:t>dredbe o kon</w:t>
      </w:r>
      <w:r w:rsidR="00730764">
        <w:rPr>
          <w:rFonts w:ascii="Cambria" w:hAnsi="Cambria" w:cs="Calibri"/>
          <w:sz w:val="24"/>
          <w:szCs w:val="24"/>
          <w:lang w:val="sr-Latn-ME"/>
        </w:rPr>
        <w:t>t</w:t>
      </w:r>
      <w:r w:rsidR="00A808FA">
        <w:rPr>
          <w:rFonts w:ascii="Cambria" w:hAnsi="Cambria" w:cs="Calibri"/>
          <w:sz w:val="24"/>
          <w:szCs w:val="24"/>
          <w:lang w:val="sr-Latn-ME"/>
        </w:rPr>
        <w:t>roli poslovni</w:t>
      </w:r>
      <w:r w:rsidR="007130D8">
        <w:rPr>
          <w:rFonts w:ascii="Cambria" w:hAnsi="Cambria" w:cs="Calibri"/>
          <w:sz w:val="24"/>
          <w:szCs w:val="24"/>
          <w:lang w:val="sr-Latn-ME"/>
        </w:rPr>
        <w:t>h</w:t>
      </w:r>
      <w:r w:rsidR="00A808FA">
        <w:rPr>
          <w:rFonts w:ascii="Cambria" w:hAnsi="Cambria" w:cs="Calibri"/>
          <w:sz w:val="24"/>
          <w:szCs w:val="24"/>
          <w:lang w:val="sr-Latn-ME"/>
        </w:rPr>
        <w:t xml:space="preserve"> knjiga i pretresu stana</w:t>
      </w:r>
      <w:r w:rsidR="007130D8">
        <w:rPr>
          <w:rFonts w:ascii="Cambria" w:hAnsi="Cambria" w:cs="Calibri"/>
          <w:sz w:val="24"/>
          <w:szCs w:val="24"/>
          <w:lang w:val="sr-Latn-ME"/>
        </w:rPr>
        <w:t xml:space="preserve"> u ovom slučaju se ne primjenjuju</w:t>
      </w:r>
      <w:r w:rsidR="00BC3B6A">
        <w:rPr>
          <w:rFonts w:ascii="Cambria" w:hAnsi="Cambria" w:cs="Calibri"/>
          <w:sz w:val="24"/>
          <w:szCs w:val="24"/>
          <w:lang w:val="sr-Latn-ME"/>
        </w:rPr>
        <w:t xml:space="preserve">. </w:t>
      </w:r>
      <w:r w:rsidR="00445C01">
        <w:rPr>
          <w:rFonts w:ascii="Cambria" w:hAnsi="Cambria" w:cs="Calibri"/>
          <w:sz w:val="24"/>
          <w:szCs w:val="24"/>
          <w:lang w:val="sr-Latn-ME"/>
        </w:rPr>
        <w:t xml:space="preserve">Poreski inspektor  vrši uviđaj na licu mjesta </w:t>
      </w:r>
      <w:r w:rsidR="00BC3B6A">
        <w:rPr>
          <w:rFonts w:ascii="Cambria" w:hAnsi="Cambria" w:cs="Calibri"/>
          <w:sz w:val="24"/>
          <w:szCs w:val="24"/>
          <w:lang w:val="sr-Latn-ME"/>
        </w:rPr>
        <w:t xml:space="preserve">u slučajevima kada je objekat upisan u katastar nepokretnosti </w:t>
      </w:r>
      <w:r w:rsidR="00A808FA">
        <w:rPr>
          <w:rFonts w:ascii="Cambria" w:hAnsi="Cambria" w:cs="Calibri"/>
          <w:sz w:val="24"/>
          <w:szCs w:val="24"/>
          <w:lang w:val="sr-Latn-ME"/>
        </w:rPr>
        <w:t xml:space="preserve">a lokalni poreski organ iz žalbe sazna da </w:t>
      </w:r>
      <w:r w:rsidR="006226A6">
        <w:rPr>
          <w:rFonts w:ascii="Cambria" w:hAnsi="Cambria" w:cs="Calibri"/>
          <w:sz w:val="24"/>
          <w:szCs w:val="24"/>
          <w:lang w:val="sr-Latn-ME"/>
        </w:rPr>
        <w:t xml:space="preserve">ne postoji na terenu jer </w:t>
      </w:r>
      <w:r w:rsidR="00A808FA">
        <w:rPr>
          <w:rFonts w:ascii="Cambria" w:hAnsi="Cambria" w:cs="Calibri"/>
          <w:sz w:val="24"/>
          <w:szCs w:val="24"/>
          <w:lang w:val="sr-Latn-ME"/>
        </w:rPr>
        <w:t>je srušen</w:t>
      </w:r>
      <w:r w:rsidR="00A45902">
        <w:rPr>
          <w:rFonts w:ascii="Cambria" w:hAnsi="Cambria" w:cs="Calibri"/>
          <w:sz w:val="24"/>
          <w:szCs w:val="24"/>
          <w:lang w:val="sr-Latn-ME"/>
        </w:rPr>
        <w:t>. Takođe postupa na nave</w:t>
      </w:r>
      <w:r w:rsidR="000851E1">
        <w:rPr>
          <w:rFonts w:ascii="Cambria" w:hAnsi="Cambria" w:cs="Calibri"/>
          <w:sz w:val="24"/>
          <w:szCs w:val="24"/>
          <w:lang w:val="sr-Latn-ME"/>
        </w:rPr>
        <w:t>d</w:t>
      </w:r>
      <w:r w:rsidR="00A45902">
        <w:rPr>
          <w:rFonts w:ascii="Cambria" w:hAnsi="Cambria" w:cs="Calibri"/>
          <w:sz w:val="24"/>
          <w:szCs w:val="24"/>
          <w:lang w:val="sr-Latn-ME"/>
        </w:rPr>
        <w:t xml:space="preserve">eni način kad iz drugih izvora sazna da </w:t>
      </w:r>
      <w:r w:rsidR="000851E1">
        <w:rPr>
          <w:rFonts w:ascii="Cambria" w:hAnsi="Cambria" w:cs="Calibri"/>
          <w:sz w:val="24"/>
          <w:szCs w:val="24"/>
          <w:lang w:val="sr-Latn-ME"/>
        </w:rPr>
        <w:t>je objekat izgrađen</w:t>
      </w:r>
      <w:r w:rsidR="006E57A5">
        <w:rPr>
          <w:rFonts w:ascii="Cambria" w:hAnsi="Cambria" w:cs="Calibri"/>
          <w:sz w:val="24"/>
          <w:szCs w:val="24"/>
          <w:lang w:val="sr-Latn-ME"/>
        </w:rPr>
        <w:t xml:space="preserve">, dograđen ili nadograđen </w:t>
      </w:r>
      <w:r w:rsidR="000851E1">
        <w:rPr>
          <w:rFonts w:ascii="Cambria" w:hAnsi="Cambria" w:cs="Calibri"/>
          <w:sz w:val="24"/>
          <w:szCs w:val="24"/>
          <w:lang w:val="sr-Latn-ME"/>
        </w:rPr>
        <w:t xml:space="preserve"> nelegalno i nije upisan u katastar</w:t>
      </w:r>
      <w:r w:rsidR="006E57A5">
        <w:rPr>
          <w:rFonts w:ascii="Cambria" w:hAnsi="Cambria" w:cs="Calibri"/>
          <w:sz w:val="24"/>
          <w:szCs w:val="24"/>
          <w:lang w:val="sr-Latn-ME"/>
        </w:rPr>
        <w:t xml:space="preserve"> te </w:t>
      </w:r>
      <w:r w:rsidR="004A5291">
        <w:rPr>
          <w:rFonts w:ascii="Cambria" w:hAnsi="Cambria" w:cs="Calibri"/>
          <w:sz w:val="24"/>
          <w:szCs w:val="24"/>
          <w:lang w:val="sr-Latn-ME"/>
        </w:rPr>
        <w:t>poreski obveznik p</w:t>
      </w:r>
      <w:r w:rsidR="006E57A5">
        <w:rPr>
          <w:rFonts w:ascii="Cambria" w:hAnsi="Cambria" w:cs="Calibri"/>
          <w:sz w:val="24"/>
          <w:szCs w:val="24"/>
          <w:lang w:val="sr-Latn-ME"/>
        </w:rPr>
        <w:t>o tom osnovu izbjegava plaćanje poreza na nepokretnost.</w:t>
      </w:r>
    </w:p>
    <w:p w14:paraId="64DAF716" w14:textId="127D5E41" w:rsidR="00BF7EED" w:rsidRDefault="00C40937" w:rsidP="000D5B47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Budući da po ovom zakonu postupaju i lokalni organi (član 2)</w:t>
      </w:r>
      <w:r w:rsidR="000851E1">
        <w:rPr>
          <w:rFonts w:ascii="Cambria" w:hAnsi="Cambria" w:cs="Calibri"/>
          <w:sz w:val="24"/>
          <w:szCs w:val="24"/>
          <w:lang w:val="sr-Latn-ME"/>
        </w:rPr>
        <w:t xml:space="preserve">, </w:t>
      </w:r>
      <w:r>
        <w:rPr>
          <w:rFonts w:ascii="Cambria" w:hAnsi="Cambria" w:cs="Calibri"/>
          <w:sz w:val="24"/>
          <w:szCs w:val="24"/>
          <w:lang w:val="sr-Latn-ME"/>
        </w:rPr>
        <w:t xml:space="preserve">smatramo da se </w:t>
      </w:r>
      <w:r w:rsidR="0054626A">
        <w:rPr>
          <w:rFonts w:ascii="Cambria" w:hAnsi="Cambria" w:cs="Calibri"/>
          <w:sz w:val="24"/>
          <w:szCs w:val="24"/>
          <w:lang w:val="sr-Latn-ME"/>
        </w:rPr>
        <w:t>njegove odredbe moraju prilagoditi predmetu oporezivanja i post</w:t>
      </w:r>
      <w:r w:rsidR="00FD2B38">
        <w:rPr>
          <w:rFonts w:ascii="Cambria" w:hAnsi="Cambria" w:cs="Calibri"/>
          <w:sz w:val="24"/>
          <w:szCs w:val="24"/>
          <w:lang w:val="sr-Latn-ME"/>
        </w:rPr>
        <w:t>u</w:t>
      </w:r>
      <w:r w:rsidR="0054626A">
        <w:rPr>
          <w:rFonts w:ascii="Cambria" w:hAnsi="Cambria" w:cs="Calibri"/>
          <w:sz w:val="24"/>
          <w:szCs w:val="24"/>
          <w:lang w:val="sr-Latn-ME"/>
        </w:rPr>
        <w:t>panju lokalnih ovlašćenih službenih lica.</w:t>
      </w:r>
      <w:r w:rsidR="00495B07" w:rsidRPr="000962A2">
        <w:rPr>
          <w:rFonts w:ascii="Cambria" w:hAnsi="Cambria" w:cs="Calibri"/>
          <w:sz w:val="24"/>
          <w:szCs w:val="24"/>
          <w:lang w:val="sr-Latn-ME"/>
        </w:rPr>
        <w:t xml:space="preserve"> </w:t>
      </w:r>
    </w:p>
    <w:p w14:paraId="51E7A148" w14:textId="1C864586" w:rsidR="00495B07" w:rsidRDefault="00EC08ED" w:rsidP="00B62A91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lastRenderedPageBreak/>
        <w:t xml:space="preserve">Član </w:t>
      </w:r>
      <w:r w:rsidR="001D6BD3">
        <w:rPr>
          <w:rFonts w:ascii="Cambria" w:hAnsi="Cambria" w:cs="Calibri"/>
          <w:sz w:val="24"/>
          <w:szCs w:val="24"/>
          <w:lang w:val="sr-Latn-ME"/>
        </w:rPr>
        <w:t>5</w:t>
      </w:r>
    </w:p>
    <w:p w14:paraId="6E99F7A4" w14:textId="402861AF" w:rsidR="00036F9A" w:rsidRPr="00036F9A" w:rsidRDefault="00036F9A" w:rsidP="00036F9A">
      <w:p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036F9A">
        <w:rPr>
          <w:rFonts w:ascii="Cambria" w:eastAsia="Calibri" w:hAnsi="Cambria" w:cs="Times New Roman"/>
          <w:sz w:val="24"/>
          <w:szCs w:val="24"/>
          <w:lang w:val="sr-Latn-ME"/>
        </w:rPr>
        <w:t xml:space="preserve">Poslije člana </w:t>
      </w:r>
      <w:r w:rsidR="00B04781">
        <w:rPr>
          <w:rFonts w:ascii="Cambria" w:eastAsia="Calibri" w:hAnsi="Cambria" w:cs="Times New Roman"/>
          <w:sz w:val="24"/>
          <w:szCs w:val="24"/>
          <w:lang w:val="sr-Latn-ME"/>
        </w:rPr>
        <w:t xml:space="preserve">26 </w:t>
      </w: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dodaje se novi </w:t>
      </w:r>
      <w:r w:rsidRPr="00036F9A">
        <w:rPr>
          <w:rFonts w:ascii="Cambria" w:eastAsia="Calibri" w:hAnsi="Cambria" w:cs="Times New Roman"/>
          <w:sz w:val="24"/>
          <w:szCs w:val="24"/>
          <w:lang w:val="sr-Latn-ME"/>
        </w:rPr>
        <w:t>član 26a koji glasi:</w:t>
      </w:r>
    </w:p>
    <w:p w14:paraId="23BE5035" w14:textId="505B4E1B" w:rsidR="00036F9A" w:rsidRPr="00036F9A" w:rsidRDefault="00036F9A" w:rsidP="00036F9A">
      <w:p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 w:rsidRPr="00036F9A">
        <w:rPr>
          <w:rFonts w:ascii="Cambria" w:eastAsia="Calibri" w:hAnsi="Cambria" w:cs="Times New Roman"/>
          <w:sz w:val="24"/>
          <w:szCs w:val="24"/>
          <w:lang w:val="sr-Latn-ME"/>
        </w:rPr>
        <w:t xml:space="preserve">„Poreski organ </w:t>
      </w:r>
      <w:r w:rsidR="00980105">
        <w:rPr>
          <w:rFonts w:ascii="Cambria" w:eastAsia="Calibri" w:hAnsi="Cambria" w:cs="Times New Roman"/>
          <w:sz w:val="24"/>
          <w:szCs w:val="24"/>
          <w:lang w:val="sr-Latn-ME"/>
        </w:rPr>
        <w:t>može</w:t>
      </w:r>
      <w:r w:rsidRPr="00036F9A">
        <w:rPr>
          <w:rFonts w:ascii="Cambria" w:eastAsia="Calibri" w:hAnsi="Cambria" w:cs="Times New Roman"/>
          <w:sz w:val="24"/>
          <w:szCs w:val="24"/>
          <w:lang w:val="sr-Latn-ME"/>
        </w:rPr>
        <w:t xml:space="preserve"> poreskom obvezniku postaviti poreskog zastupnika</w:t>
      </w:r>
      <w:r w:rsidR="00460BF0">
        <w:rPr>
          <w:rFonts w:ascii="Cambria" w:eastAsia="Calibri" w:hAnsi="Cambria" w:cs="Times New Roman"/>
          <w:sz w:val="24"/>
          <w:szCs w:val="24"/>
          <w:lang w:val="sr-Latn-ME"/>
        </w:rPr>
        <w:t xml:space="preserve"> o trošku poreskog obveznika</w:t>
      </w:r>
      <w:r w:rsidRPr="00036F9A">
        <w:rPr>
          <w:rFonts w:ascii="Cambria" w:eastAsia="Calibri" w:hAnsi="Cambria" w:cs="Times New Roman"/>
          <w:sz w:val="24"/>
          <w:szCs w:val="24"/>
          <w:lang w:val="sr-Latn-ME"/>
        </w:rPr>
        <w:t xml:space="preserve"> i to:</w:t>
      </w:r>
    </w:p>
    <w:p w14:paraId="3AA3BC14" w14:textId="77777777" w:rsidR="00F667E0" w:rsidRPr="00460BF0" w:rsidRDefault="00F667E0" w:rsidP="00F667E0">
      <w:p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pl-PL"/>
        </w:rPr>
      </w:pPr>
    </w:p>
    <w:p w14:paraId="5717BE05" w14:textId="63010EDA" w:rsidR="00036F9A" w:rsidRPr="00036F9A" w:rsidRDefault="00036F9A" w:rsidP="00036F9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36F9A">
        <w:rPr>
          <w:rFonts w:ascii="Cambria" w:eastAsia="Calibri" w:hAnsi="Cambria" w:cs="Times New Roman"/>
          <w:sz w:val="24"/>
          <w:szCs w:val="24"/>
        </w:rPr>
        <w:t>ako je poreski obveznik nepoznat ili se ne može naći na posljednjoj prijavljenoj adresi;</w:t>
      </w:r>
    </w:p>
    <w:p w14:paraId="44E1AB92" w14:textId="0A62E197" w:rsidR="00036F9A" w:rsidRPr="00036F9A" w:rsidRDefault="00A96D14" w:rsidP="00036F9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ako </w:t>
      </w:r>
      <w:r w:rsidR="00036F9A" w:rsidRPr="00036F9A">
        <w:rPr>
          <w:rFonts w:ascii="Cambria" w:eastAsia="Calibri" w:hAnsi="Cambria" w:cs="Times New Roman"/>
          <w:sz w:val="24"/>
          <w:szCs w:val="24"/>
        </w:rPr>
        <w:t xml:space="preserve">strano pravno ili fizičko lice nije imenovalo poreskog punomoćnika u skladu sa članom 26 stav 2 ovog zakona i </w:t>
      </w:r>
    </w:p>
    <w:p w14:paraId="207FCD24" w14:textId="1C7FDED8" w:rsidR="00036F9A" w:rsidRPr="00036F9A" w:rsidRDefault="00A96D14" w:rsidP="00036F9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ako je </w:t>
      </w:r>
      <w:r w:rsidR="00036F9A" w:rsidRPr="00036F9A">
        <w:rPr>
          <w:rFonts w:ascii="Cambria" w:eastAsia="Calibri" w:hAnsi="Cambria" w:cs="Times New Roman"/>
          <w:sz w:val="24"/>
          <w:szCs w:val="24"/>
        </w:rPr>
        <w:t xml:space="preserve">nepoznat nasljednik </w:t>
      </w:r>
      <w:r w:rsidR="002C5274">
        <w:rPr>
          <w:rFonts w:ascii="Cambria" w:eastAsia="Calibri" w:hAnsi="Cambria" w:cs="Times New Roman"/>
          <w:sz w:val="24"/>
          <w:szCs w:val="24"/>
        </w:rPr>
        <w:t xml:space="preserve">poreskog obveznika </w:t>
      </w:r>
      <w:r>
        <w:rPr>
          <w:rFonts w:ascii="Cambria" w:eastAsia="Calibri" w:hAnsi="Cambria" w:cs="Times New Roman"/>
          <w:sz w:val="24"/>
          <w:szCs w:val="24"/>
        </w:rPr>
        <w:t xml:space="preserve">a </w:t>
      </w:r>
      <w:r w:rsidR="00036F9A" w:rsidRPr="00036F9A">
        <w:rPr>
          <w:rFonts w:ascii="Cambria" w:eastAsia="Calibri" w:hAnsi="Cambria" w:cs="Times New Roman"/>
          <w:sz w:val="24"/>
          <w:szCs w:val="24"/>
        </w:rPr>
        <w:t>nije sproveden ostavinski postupak“.</w:t>
      </w:r>
    </w:p>
    <w:p w14:paraId="05CC0346" w14:textId="77777777" w:rsidR="00036F9A" w:rsidRPr="00036F9A" w:rsidRDefault="00036F9A" w:rsidP="00036F9A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</w:p>
    <w:p w14:paraId="7FD10F1A" w14:textId="2FC9B82F" w:rsidR="00036F9A" w:rsidRDefault="00036F9A" w:rsidP="00036F9A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Obrazloženje</w:t>
      </w:r>
    </w:p>
    <w:p w14:paraId="5227330D" w14:textId="0E895D91" w:rsidR="00B04781" w:rsidRPr="006E21F4" w:rsidRDefault="00B04781" w:rsidP="00036F9A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sr-Latn-ME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Članom 26 važećeg Zakona o poreskoj administraciji utvrđene su obaveze poreskog obveznika.</w:t>
      </w:r>
    </w:p>
    <w:p w14:paraId="5F95CC73" w14:textId="4042129C" w:rsidR="00036F9A" w:rsidRDefault="00F55CA1" w:rsidP="00036F9A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Predloženim članom detaljnije se razrađuje institut poreskog zastupnika</w:t>
      </w:r>
      <w:r w:rsidR="00303F91">
        <w:rPr>
          <w:rFonts w:ascii="Cambria" w:hAnsi="Cambria" w:cs="Calibri"/>
          <w:sz w:val="24"/>
          <w:szCs w:val="24"/>
          <w:lang w:val="sr-Latn-ME"/>
        </w:rPr>
        <w:t xml:space="preserve"> koji je </w:t>
      </w:r>
      <w:r w:rsidR="00036F9A">
        <w:rPr>
          <w:rFonts w:ascii="Cambria" w:hAnsi="Cambria" w:cs="Calibri"/>
          <w:sz w:val="24"/>
          <w:szCs w:val="24"/>
          <w:lang w:val="sr-Latn-ME"/>
        </w:rPr>
        <w:t xml:space="preserve">utemeljen  u članu 4 tačka 7 važećeg Zakona o poreskoj administraciji. </w:t>
      </w:r>
      <w:r w:rsidR="0093515B">
        <w:rPr>
          <w:rFonts w:ascii="Cambria" w:hAnsi="Cambria" w:cs="Calibri"/>
          <w:sz w:val="24"/>
          <w:szCs w:val="24"/>
          <w:lang w:val="sr-Latn-ME"/>
        </w:rPr>
        <w:t xml:space="preserve"> </w:t>
      </w:r>
      <w:r w:rsidR="00036F9A">
        <w:rPr>
          <w:rFonts w:ascii="Cambria" w:hAnsi="Cambria" w:cs="Calibri"/>
          <w:sz w:val="24"/>
          <w:szCs w:val="24"/>
          <w:lang w:val="sr-Latn-ME"/>
        </w:rPr>
        <w:t xml:space="preserve">Budući da ga Zakon o poreskoj administraciji reguliše samo u pojmovniku, smatramo da ga je neophodno prilagoditi potrebama poreskog postupka i razraditi </w:t>
      </w:r>
      <w:r w:rsidR="0093515B">
        <w:rPr>
          <w:rFonts w:ascii="Cambria" w:hAnsi="Cambria" w:cs="Calibri"/>
          <w:sz w:val="24"/>
          <w:szCs w:val="24"/>
          <w:lang w:val="sr-Latn-ME"/>
        </w:rPr>
        <w:t xml:space="preserve">da </w:t>
      </w:r>
      <w:r w:rsidR="00036F9A">
        <w:rPr>
          <w:rFonts w:ascii="Cambria" w:hAnsi="Cambria" w:cs="Calibri"/>
          <w:sz w:val="24"/>
          <w:szCs w:val="24"/>
          <w:lang w:val="sr-Latn-ME"/>
        </w:rPr>
        <w:t>bi počela njegova primjena u praksi</w:t>
      </w:r>
      <w:r w:rsidR="0093515B">
        <w:rPr>
          <w:rFonts w:ascii="Cambria" w:hAnsi="Cambria" w:cs="Calibri"/>
          <w:sz w:val="24"/>
          <w:szCs w:val="24"/>
          <w:lang w:val="sr-Latn-ME"/>
        </w:rPr>
        <w:t xml:space="preserve"> i pojednostavio se postupak utvrđivanja i naplate poreza</w:t>
      </w:r>
      <w:r w:rsidR="00036F9A">
        <w:rPr>
          <w:rFonts w:ascii="Cambria" w:hAnsi="Cambria" w:cs="Calibri"/>
          <w:sz w:val="24"/>
          <w:szCs w:val="24"/>
          <w:lang w:val="sr-Latn-ME"/>
        </w:rPr>
        <w:t>. Naime, institut poreskog zastupnika omogućava rješavanje brojnih spornih situacija</w:t>
      </w:r>
      <w:r w:rsidR="00460BF0">
        <w:rPr>
          <w:rFonts w:ascii="Cambria" w:hAnsi="Cambria" w:cs="Calibri"/>
          <w:sz w:val="24"/>
          <w:szCs w:val="24"/>
          <w:lang w:val="sr-Latn-ME"/>
        </w:rPr>
        <w:t xml:space="preserve"> u praksi lokalnih poreskih organa </w:t>
      </w:r>
      <w:r w:rsidR="00036F9A">
        <w:rPr>
          <w:rFonts w:ascii="Cambria" w:hAnsi="Cambria" w:cs="Calibri"/>
          <w:sz w:val="24"/>
          <w:szCs w:val="24"/>
          <w:lang w:val="sr-Latn-ME"/>
        </w:rPr>
        <w:t xml:space="preserve">vezanih za identifikovanje stranke ili teškoće u dostavi poreskih rješenja, a samim tim i brojne procesne probleme </w:t>
      </w:r>
      <w:r w:rsidR="00541B28">
        <w:rPr>
          <w:rFonts w:ascii="Cambria" w:hAnsi="Cambria" w:cs="Calibri"/>
          <w:sz w:val="24"/>
          <w:szCs w:val="24"/>
          <w:lang w:val="sr-Latn-ME"/>
        </w:rPr>
        <w:t xml:space="preserve">uzrokovane nepostupanjem poreskih obveznika po imperativnim zakonskim odredbama </w:t>
      </w:r>
      <w:r w:rsidR="00036F9A">
        <w:rPr>
          <w:rFonts w:ascii="Cambria" w:hAnsi="Cambria" w:cs="Calibri"/>
          <w:sz w:val="24"/>
          <w:szCs w:val="24"/>
          <w:lang w:val="sr-Latn-ME"/>
        </w:rPr>
        <w:t>koji u krajnjem efektuiraju</w:t>
      </w:r>
      <w:r w:rsidR="00A449FC">
        <w:rPr>
          <w:rFonts w:ascii="Cambria" w:hAnsi="Cambria" w:cs="Calibri"/>
          <w:sz w:val="24"/>
          <w:szCs w:val="24"/>
          <w:lang w:val="sr-Latn-ME"/>
        </w:rPr>
        <w:t xml:space="preserve"> </w:t>
      </w:r>
      <w:r w:rsidR="00036F9A">
        <w:rPr>
          <w:rFonts w:ascii="Cambria" w:hAnsi="Cambria" w:cs="Calibri"/>
          <w:sz w:val="24"/>
          <w:szCs w:val="24"/>
          <w:lang w:val="sr-Latn-ME"/>
        </w:rPr>
        <w:t xml:space="preserve">nemogućnošću naplate ogromnih iznosa poreza, pa čak i obavezivanjem opština da plate troškove takvog postupka, što problem samo usložnjava, a uvećava </w:t>
      </w:r>
      <w:r w:rsidR="009547C3">
        <w:rPr>
          <w:rFonts w:ascii="Cambria" w:hAnsi="Cambria" w:cs="Calibri"/>
          <w:sz w:val="24"/>
          <w:szCs w:val="24"/>
          <w:lang w:val="sr-Latn-ME"/>
        </w:rPr>
        <w:t>š</w:t>
      </w:r>
      <w:r w:rsidR="00036F9A">
        <w:rPr>
          <w:rFonts w:ascii="Cambria" w:hAnsi="Cambria" w:cs="Calibri"/>
          <w:sz w:val="24"/>
          <w:szCs w:val="24"/>
          <w:lang w:val="sr-Latn-ME"/>
        </w:rPr>
        <w:t>tetu po lokalne budžete</w:t>
      </w:r>
      <w:r w:rsidR="009547C3">
        <w:rPr>
          <w:rFonts w:ascii="Cambria" w:hAnsi="Cambria" w:cs="Calibri"/>
          <w:sz w:val="24"/>
          <w:szCs w:val="24"/>
          <w:lang w:val="sr-Latn-ME"/>
        </w:rPr>
        <w:t xml:space="preserve"> i doprinosi njihovoj nelikvidnosti</w:t>
      </w:r>
      <w:r w:rsidR="00036F9A">
        <w:rPr>
          <w:rFonts w:ascii="Cambria" w:hAnsi="Cambria" w:cs="Calibri"/>
          <w:sz w:val="24"/>
          <w:szCs w:val="24"/>
          <w:lang w:val="sr-Latn-ME"/>
        </w:rPr>
        <w:t>.</w:t>
      </w:r>
    </w:p>
    <w:p w14:paraId="5FE0B110" w14:textId="411468C5" w:rsidR="00E50FCA" w:rsidRPr="000962A2" w:rsidRDefault="00E50FCA" w:rsidP="00E50FCA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U odnosu na predloženu alineju 3 ovog člana ukazujemo da iako je č</w:t>
      </w:r>
      <w:r w:rsidRPr="000962A2">
        <w:rPr>
          <w:rFonts w:ascii="Cambria" w:hAnsi="Cambria" w:cs="Calibri"/>
          <w:sz w:val="24"/>
          <w:szCs w:val="24"/>
          <w:lang w:val="sr-Latn-ME"/>
        </w:rPr>
        <w:t>lanom 45 propisano  da poresku obavezu umrlog lica izmiruju njegovi nasljednici do iznosa vrijednosti naslijeđene imovine, srazmjerno njihovom učešću u nasljedstvu</w:t>
      </w:r>
      <w:r w:rsidR="00EF65E8">
        <w:rPr>
          <w:rFonts w:ascii="Cambria" w:hAnsi="Cambria" w:cs="Calibri"/>
          <w:sz w:val="24"/>
          <w:szCs w:val="24"/>
          <w:lang w:val="sr-Latn-ME"/>
        </w:rPr>
        <w:t>, u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dosadašnjoj praksi su </w:t>
      </w:r>
      <w:r w:rsidR="00EF65E8">
        <w:rPr>
          <w:rFonts w:ascii="Cambria" w:hAnsi="Cambria" w:cs="Calibri"/>
          <w:sz w:val="24"/>
          <w:szCs w:val="24"/>
          <w:lang w:val="sr-Latn-ME"/>
        </w:rPr>
        <w:t xml:space="preserve">lokalnim </w:t>
      </w:r>
      <w:r w:rsidRPr="000962A2">
        <w:rPr>
          <w:rFonts w:ascii="Cambria" w:hAnsi="Cambria" w:cs="Calibri"/>
          <w:sz w:val="24"/>
          <w:szCs w:val="24"/>
          <w:lang w:val="sr-Latn-ME"/>
        </w:rPr>
        <w:t>poreskim organima stvarali problem nasl</w:t>
      </w:r>
      <w:r>
        <w:rPr>
          <w:rFonts w:ascii="Cambria" w:hAnsi="Cambria" w:cs="Calibri"/>
          <w:sz w:val="24"/>
          <w:szCs w:val="24"/>
          <w:lang w:val="sr-Latn-ME"/>
        </w:rPr>
        <w:t>j</w:t>
      </w:r>
      <w:r w:rsidRPr="000962A2">
        <w:rPr>
          <w:rFonts w:ascii="Cambria" w:hAnsi="Cambria" w:cs="Calibri"/>
          <w:sz w:val="24"/>
          <w:szCs w:val="24"/>
          <w:lang w:val="sr-Latn-ME"/>
        </w:rPr>
        <w:t>ednici koji nemaju interes da sprovedu ostavinski postupak, te se u slučaju smrti poreskog obveznika ne može legitimisati stranka u postupku</w:t>
      </w:r>
      <w:r w:rsidR="00AD1E13">
        <w:rPr>
          <w:rFonts w:ascii="Cambria" w:hAnsi="Cambria" w:cs="Calibri"/>
          <w:sz w:val="24"/>
          <w:szCs w:val="24"/>
          <w:lang w:val="sr-Latn-ME"/>
        </w:rPr>
        <w:t xml:space="preserve"> niti utvrditi njihovo učešće u nasledstvu</w:t>
      </w:r>
      <w:r w:rsidRPr="000962A2">
        <w:rPr>
          <w:rFonts w:ascii="Cambria" w:hAnsi="Cambria" w:cs="Calibri"/>
          <w:sz w:val="24"/>
          <w:szCs w:val="24"/>
          <w:lang w:val="sr-Latn-ME"/>
        </w:rPr>
        <w:t>.</w:t>
      </w:r>
    </w:p>
    <w:p w14:paraId="49F5AC92" w14:textId="5DFBACBF" w:rsidR="00E50FCA" w:rsidRDefault="00EF65E8" w:rsidP="00E50FCA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 xml:space="preserve">Predloženom alinejom omogućilo bi se </w:t>
      </w:r>
      <w:r w:rsidR="00386C69">
        <w:rPr>
          <w:rFonts w:ascii="Cambria" w:hAnsi="Cambria" w:cs="Calibri"/>
          <w:sz w:val="24"/>
          <w:szCs w:val="24"/>
          <w:lang w:val="sr-Latn-ME"/>
        </w:rPr>
        <w:t xml:space="preserve">sprovođenje postupka utvrđivanja i naplate poreza na nepokretnost  </w:t>
      </w:r>
      <w:r w:rsidR="00100326">
        <w:rPr>
          <w:rFonts w:ascii="Cambria" w:hAnsi="Cambria" w:cs="Calibri"/>
          <w:sz w:val="24"/>
          <w:szCs w:val="24"/>
          <w:lang w:val="sr-Latn-ME"/>
        </w:rPr>
        <w:t xml:space="preserve">i </w:t>
      </w:r>
      <w:r w:rsidR="00386C69">
        <w:rPr>
          <w:rFonts w:ascii="Cambria" w:hAnsi="Cambria" w:cs="Calibri"/>
          <w:sz w:val="24"/>
          <w:szCs w:val="24"/>
          <w:lang w:val="sr-Latn-ME"/>
        </w:rPr>
        <w:t xml:space="preserve">u slučaju kada </w:t>
      </w:r>
      <w:r w:rsidR="00E50FCA">
        <w:rPr>
          <w:rFonts w:ascii="Cambria" w:hAnsi="Cambria" w:cs="Calibri"/>
          <w:sz w:val="24"/>
          <w:szCs w:val="24"/>
          <w:lang w:val="sr-Latn-ME"/>
        </w:rPr>
        <w:t xml:space="preserve">je stranka umrlo lice čiji su nasljednici nepoznati. </w:t>
      </w:r>
      <w:r w:rsidR="00100326">
        <w:rPr>
          <w:rFonts w:ascii="Cambria" w:hAnsi="Cambria" w:cs="Calibri"/>
          <w:sz w:val="24"/>
          <w:szCs w:val="24"/>
          <w:lang w:val="sr-Latn-ME"/>
        </w:rPr>
        <w:t>Naime, i</w:t>
      </w:r>
      <w:r w:rsidR="00E50FCA">
        <w:rPr>
          <w:rFonts w:ascii="Cambria" w:hAnsi="Cambria" w:cs="Calibri"/>
          <w:sz w:val="24"/>
          <w:szCs w:val="24"/>
          <w:lang w:val="sr-Latn-ME"/>
        </w:rPr>
        <w:t>ako</w:t>
      </w:r>
      <w:r w:rsidR="00100326">
        <w:rPr>
          <w:rFonts w:ascii="Cambria" w:hAnsi="Cambria" w:cs="Calibri"/>
          <w:sz w:val="24"/>
          <w:szCs w:val="24"/>
          <w:lang w:val="sr-Latn-ME"/>
        </w:rPr>
        <w:t xml:space="preserve"> </w:t>
      </w:r>
      <w:r w:rsidR="00AD1E13">
        <w:rPr>
          <w:rFonts w:ascii="Cambria" w:hAnsi="Cambria" w:cs="Calibri"/>
          <w:sz w:val="24"/>
          <w:szCs w:val="24"/>
          <w:lang w:val="sr-Latn-ME"/>
        </w:rPr>
        <w:t>i</w:t>
      </w:r>
      <w:r w:rsidR="00E50FCA">
        <w:rPr>
          <w:rFonts w:ascii="Cambria" w:hAnsi="Cambria" w:cs="Calibri"/>
          <w:sz w:val="24"/>
          <w:szCs w:val="24"/>
          <w:lang w:val="sr-Latn-ME"/>
        </w:rPr>
        <w:t xml:space="preserve"> Zakon o nasljeđivanju </w:t>
      </w:r>
      <w:r w:rsidR="00100326">
        <w:rPr>
          <w:rFonts w:ascii="Cambria" w:hAnsi="Cambria" w:cs="Calibri"/>
          <w:sz w:val="24"/>
          <w:szCs w:val="24"/>
          <w:lang w:val="sr-Latn-ME"/>
        </w:rPr>
        <w:t>propis</w:t>
      </w:r>
      <w:r w:rsidR="00AD1E13">
        <w:rPr>
          <w:rFonts w:ascii="Cambria" w:hAnsi="Cambria" w:cs="Calibri"/>
          <w:sz w:val="24"/>
          <w:szCs w:val="24"/>
          <w:lang w:val="sr-Latn-ME"/>
        </w:rPr>
        <w:t>uje</w:t>
      </w:r>
      <w:r w:rsidR="00100326">
        <w:rPr>
          <w:rFonts w:ascii="Cambria" w:hAnsi="Cambria" w:cs="Calibri"/>
          <w:sz w:val="24"/>
          <w:szCs w:val="24"/>
          <w:lang w:val="sr-Latn-ME"/>
        </w:rPr>
        <w:t xml:space="preserve"> da </w:t>
      </w:r>
      <w:r w:rsidR="00E50FCA">
        <w:rPr>
          <w:rFonts w:ascii="Cambria" w:hAnsi="Cambria" w:cs="Calibri"/>
          <w:sz w:val="24"/>
          <w:szCs w:val="24"/>
          <w:lang w:val="sr-Latn-ME"/>
        </w:rPr>
        <w:t xml:space="preserve">nasljednik postaje </w:t>
      </w:r>
      <w:r w:rsidR="00386C69">
        <w:rPr>
          <w:rFonts w:ascii="Cambria" w:hAnsi="Cambria" w:cs="Calibri"/>
          <w:sz w:val="24"/>
          <w:szCs w:val="24"/>
          <w:lang w:val="sr-Latn-ME"/>
        </w:rPr>
        <w:t xml:space="preserve">naslednik </w:t>
      </w:r>
      <w:r w:rsidR="00E50FCA">
        <w:rPr>
          <w:rFonts w:ascii="Cambria" w:hAnsi="Cambria" w:cs="Calibri"/>
          <w:sz w:val="24"/>
          <w:szCs w:val="24"/>
          <w:lang w:val="sr-Latn-ME"/>
        </w:rPr>
        <w:t>u trenutku smrti ostavioca, bez pravosnažnog rješenja o nasljeđivanju poreski organ ga ne može identifikovati</w:t>
      </w:r>
      <w:r w:rsidR="00390375">
        <w:rPr>
          <w:rFonts w:ascii="Cambria" w:hAnsi="Cambria" w:cs="Calibri"/>
          <w:sz w:val="24"/>
          <w:szCs w:val="24"/>
          <w:lang w:val="sr-Latn-ME"/>
        </w:rPr>
        <w:t xml:space="preserve"> i obezbjediti mu učešće u postupku i pravo na djelotvoran pravni lijek</w:t>
      </w:r>
      <w:r w:rsidR="00E50FCA">
        <w:rPr>
          <w:rFonts w:ascii="Cambria" w:hAnsi="Cambria" w:cs="Calibri"/>
          <w:sz w:val="24"/>
          <w:szCs w:val="24"/>
          <w:lang w:val="sr-Latn-ME"/>
        </w:rPr>
        <w:t>.</w:t>
      </w:r>
    </w:p>
    <w:p w14:paraId="70EA3D3F" w14:textId="77777777" w:rsidR="00E50FCA" w:rsidRDefault="00E50FCA" w:rsidP="00E50FCA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 xml:space="preserve">Uvođenjem poreskog </w:t>
      </w:r>
      <w:r>
        <w:rPr>
          <w:rFonts w:ascii="Cambria" w:hAnsi="Cambria" w:cs="Calibri"/>
          <w:sz w:val="24"/>
          <w:szCs w:val="24"/>
          <w:lang w:val="sr-Latn-ME"/>
        </w:rPr>
        <w:t>zastupnika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otklanja se navedeni problem, jer se tako može zakonito sprovesti kompletan postupak, uključujući i prinudno izvršenje na imovini, bez obzira ko su naslednici i to o njihovom trošku. </w:t>
      </w:r>
    </w:p>
    <w:p w14:paraId="47E96807" w14:textId="77777777" w:rsidR="00E50FCA" w:rsidRDefault="00E50FCA" w:rsidP="00036F9A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</w:p>
    <w:p w14:paraId="7B7933BA" w14:textId="77777777" w:rsidR="00AB5AE5" w:rsidRDefault="00AB5AE5" w:rsidP="00A449FC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</w:p>
    <w:p w14:paraId="5A5EBE79" w14:textId="37BA270F" w:rsidR="000B4E6F" w:rsidRDefault="00956E99" w:rsidP="00A449FC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lastRenderedPageBreak/>
        <w:t>Član</w:t>
      </w:r>
      <w:r w:rsidR="001D6BD3">
        <w:rPr>
          <w:rFonts w:ascii="Cambria" w:hAnsi="Cambria" w:cs="Calibri"/>
          <w:sz w:val="24"/>
          <w:szCs w:val="24"/>
          <w:lang w:val="sr-Latn-ME"/>
        </w:rPr>
        <w:t xml:space="preserve"> 7</w:t>
      </w:r>
    </w:p>
    <w:p w14:paraId="5FC8F4CF" w14:textId="77777777" w:rsidR="00956E99" w:rsidRPr="000962A2" w:rsidRDefault="00956E99" w:rsidP="00956E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U članu 27 u stavu 2 u tački 1 i 3 poslije riječi “Crne Gore” dodaju se riječi: “ili je vlasnik nepokretnosti u Crnoj Gori;”.</w:t>
      </w:r>
    </w:p>
    <w:p w14:paraId="3B64A0A3" w14:textId="77777777" w:rsidR="00956E99" w:rsidRPr="000962A2" w:rsidRDefault="00956E99" w:rsidP="00956E9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</w:p>
    <w:p w14:paraId="1E735539" w14:textId="77777777" w:rsidR="00956E99" w:rsidRPr="000962A2" w:rsidRDefault="00956E99" w:rsidP="00956E99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Poslije stava 3 dodaje se novi stav koji glasi:</w:t>
      </w:r>
    </w:p>
    <w:p w14:paraId="49993489" w14:textId="64683383" w:rsidR="00956E99" w:rsidRPr="000962A2" w:rsidRDefault="00956E99" w:rsidP="00956E99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 xml:space="preserve">“ 4) pravnim i fizičkim licima koji su obveznici lokalnih javnih prihoda dodjeljuje se </w:t>
      </w:r>
      <w:r w:rsidR="00DA4327">
        <w:rPr>
          <w:rFonts w:ascii="Cambria" w:hAnsi="Cambria" w:cs="Calibri"/>
          <w:sz w:val="24"/>
          <w:szCs w:val="24"/>
          <w:lang w:val="sr-Latn-ME"/>
        </w:rPr>
        <w:t xml:space="preserve">lokalni poreski identifikacioni </w:t>
      </w:r>
      <w:r w:rsidRPr="000962A2">
        <w:rPr>
          <w:rFonts w:ascii="Cambria" w:hAnsi="Cambria" w:cs="Calibri"/>
          <w:sz w:val="24"/>
          <w:szCs w:val="24"/>
          <w:lang w:val="sr-Latn-ME"/>
        </w:rPr>
        <w:t>broj automatske obrade podataka (</w:t>
      </w:r>
      <w:r w:rsidR="00DA4327">
        <w:rPr>
          <w:rFonts w:ascii="Cambria" w:hAnsi="Cambria" w:cs="Calibri"/>
          <w:sz w:val="24"/>
          <w:szCs w:val="24"/>
          <w:lang w:val="sr-Latn-ME"/>
        </w:rPr>
        <w:t xml:space="preserve">u daljem tekstu: 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AOP). </w:t>
      </w:r>
    </w:p>
    <w:p w14:paraId="15815AE4" w14:textId="77777777" w:rsidR="00956E99" w:rsidRPr="000962A2" w:rsidRDefault="00956E99" w:rsidP="00956E99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7328C8">
        <w:rPr>
          <w:rFonts w:ascii="Cambria" w:hAnsi="Cambria" w:cs="Calibri"/>
          <w:sz w:val="24"/>
          <w:szCs w:val="24"/>
          <w:lang w:val="sr-Latn-ME"/>
        </w:rPr>
        <w:t>U  stavu 4 i 5 poslije riječi PIB dodaje se zarez i riječi: “odnosno AOP”.</w:t>
      </w:r>
    </w:p>
    <w:p w14:paraId="1E889E9E" w14:textId="77777777" w:rsidR="00956E99" w:rsidRPr="000962A2" w:rsidRDefault="00956E99" w:rsidP="00956E99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Dosadašnji stav 4-8 postaje stav 5-9.</w:t>
      </w:r>
    </w:p>
    <w:p w14:paraId="7A39D94E" w14:textId="77777777" w:rsidR="00956E99" w:rsidRPr="00956E99" w:rsidRDefault="00956E99" w:rsidP="00956E99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 w:rsidRPr="00956E99">
        <w:rPr>
          <w:rFonts w:ascii="Cambria" w:hAnsi="Cambria" w:cs="Calibri"/>
          <w:sz w:val="24"/>
          <w:szCs w:val="24"/>
          <w:lang w:val="sr-Latn-ME"/>
        </w:rPr>
        <w:t>Obrazloženje</w:t>
      </w:r>
    </w:p>
    <w:p w14:paraId="4AC1B573" w14:textId="058AD2AA" w:rsidR="00B04781" w:rsidRPr="006E21F4" w:rsidRDefault="00B04781" w:rsidP="00A3108F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sr-Latn-ME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Članom 27 </w:t>
      </w:r>
      <w:r w:rsidR="00A3108F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propisana </w:t>
      </w:r>
      <w:r w:rsidR="00C779A0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su pitanja u vezi sa </w:t>
      </w:r>
      <w:r w:rsidR="00A3108F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identifikacij</w:t>
      </w:r>
      <w:r w:rsidR="00C779A0" w:rsidRPr="006E21F4">
        <w:rPr>
          <w:rFonts w:ascii="Cambria" w:hAnsi="Cambria" w:cs="Calibri"/>
          <w:i/>
          <w:iCs/>
          <w:sz w:val="24"/>
          <w:szCs w:val="24"/>
          <w:lang w:val="sr-Latn-ME"/>
        </w:rPr>
        <w:t>om</w:t>
      </w:r>
      <w:r w:rsidR="00A3108F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i opšt</w:t>
      </w:r>
      <w:r w:rsidR="00C779A0" w:rsidRPr="006E21F4">
        <w:rPr>
          <w:rFonts w:ascii="Cambria" w:hAnsi="Cambria" w:cs="Calibri"/>
          <w:i/>
          <w:iCs/>
          <w:sz w:val="24"/>
          <w:szCs w:val="24"/>
          <w:lang w:val="sr-Latn-ME"/>
        </w:rPr>
        <w:t>om</w:t>
      </w:r>
      <w:r w:rsidR="00A3108F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registracij</w:t>
      </w:r>
      <w:r w:rsidR="00C779A0" w:rsidRPr="006E21F4">
        <w:rPr>
          <w:rFonts w:ascii="Cambria" w:hAnsi="Cambria" w:cs="Calibri"/>
          <w:i/>
          <w:iCs/>
          <w:sz w:val="24"/>
          <w:szCs w:val="24"/>
          <w:lang w:val="sr-Latn-ME"/>
        </w:rPr>
        <w:t>om</w:t>
      </w:r>
      <w:r w:rsidR="00A3108F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poreskog obveznika. Stavom 2 ovog člana propisano je da su prijavu za registraciju dužni da podnesu i „pravno lice ili organizacija koja obavlja djelatnost ili ostvaruje prihode u ili van Crne Gore“, kao i „strano pravno lice ili organizacija koja obavlja djelatnost ili ostvaruje prihode u Crnoj Gori“.</w:t>
      </w:r>
      <w:r w:rsidR="00C779A0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Stavom 3 ovog člana propisano je da poreski organ, u cilju identifikacije poreskih obveznika u roku od osam dana od dana podnošenja prijave za registraciju, donosi rješenje o registraciji kojim se pravnim i fizičkim licima dodjeljuje PIB, dok je stavom 4 utvrđeno da je PIB jedinstveni i jedini broj pravnog, odnosno fizičkog lica za sve vrste poreza i zadržava se prilikom promjene sjedišta, prebivališta, odnosno boravišta poreskog obveznika. Ovim članom (stav 5) propisano je da se PIB se unosi u: akt koji poreski obveznik podnosi poreskom organu, državnim organima i organima lokalne uprave; akt koji poreski organ dostavlja poreskom obvezniku</w:t>
      </w:r>
      <w:r w:rsidR="00346F04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i</w:t>
      </w:r>
      <w:r w:rsidR="00C779A0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nalog kojim poreski obveznik plaća poresku obavezu.</w:t>
      </w:r>
      <w:r w:rsidR="00A3108F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</w:p>
    <w:p w14:paraId="1852713C" w14:textId="29F25D21" w:rsidR="00956E99" w:rsidRPr="000962A2" w:rsidRDefault="001F45E4" w:rsidP="00956E99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Znači,</w:t>
      </w:r>
      <w:r w:rsidR="00346F04">
        <w:rPr>
          <w:rFonts w:ascii="Cambria" w:hAnsi="Cambria" w:cs="Calibri"/>
          <w:sz w:val="24"/>
          <w:szCs w:val="24"/>
          <w:lang w:val="sr-Latn-ME"/>
        </w:rPr>
        <w:t xml:space="preserve"> ovim članom</w:t>
      </w:r>
      <w:r w:rsidR="00956E99" w:rsidRPr="000962A2">
        <w:rPr>
          <w:rFonts w:ascii="Cambria" w:hAnsi="Cambria" w:cs="Calibri"/>
          <w:sz w:val="24"/>
          <w:szCs w:val="24"/>
          <w:lang w:val="sr-Latn-ME"/>
        </w:rPr>
        <w:t xml:space="preserve"> propisani su obveznici podnošenja prijave za registraciju</w:t>
      </w:r>
      <w:r w:rsidR="00956E99">
        <w:rPr>
          <w:rFonts w:ascii="Cambria" w:hAnsi="Cambria" w:cs="Calibri"/>
          <w:sz w:val="24"/>
          <w:szCs w:val="24"/>
          <w:lang w:val="sr-Latn-ME"/>
        </w:rPr>
        <w:t>,</w:t>
      </w:r>
      <w:r w:rsidR="00956E99" w:rsidRPr="000962A2">
        <w:rPr>
          <w:rFonts w:ascii="Cambria" w:hAnsi="Cambria" w:cs="Calibri"/>
          <w:sz w:val="24"/>
          <w:szCs w:val="24"/>
          <w:lang w:val="sr-Latn-ME"/>
        </w:rPr>
        <w:t xml:space="preserve"> ali isključivo za državne javne prihode, a ne i za lokalne kada je predmet oporezivanja nepokretnost, pa su predložena odgovarajuća tehnička upodobljavanja</w:t>
      </w:r>
      <w:r w:rsidR="00956E99">
        <w:rPr>
          <w:rFonts w:ascii="Cambria" w:hAnsi="Cambria" w:cs="Calibri"/>
          <w:sz w:val="24"/>
          <w:szCs w:val="24"/>
          <w:lang w:val="sr-Latn-ME"/>
        </w:rPr>
        <w:t xml:space="preserve"> koja lokalnom</w:t>
      </w:r>
      <w:r w:rsidR="00A449FC">
        <w:rPr>
          <w:rFonts w:ascii="Cambria" w:hAnsi="Cambria" w:cs="Calibri"/>
          <w:sz w:val="24"/>
          <w:szCs w:val="24"/>
          <w:lang w:val="sr-Latn-ME"/>
        </w:rPr>
        <w:t xml:space="preserve"> poreskom</w:t>
      </w:r>
      <w:r w:rsidR="00956E99">
        <w:rPr>
          <w:rFonts w:ascii="Cambria" w:hAnsi="Cambria" w:cs="Calibri"/>
          <w:sz w:val="24"/>
          <w:szCs w:val="24"/>
          <w:lang w:val="sr-Latn-ME"/>
        </w:rPr>
        <w:t xml:space="preserve"> organu omogućavaju da svakom poreskom obvezniku dodjele jedinstveni </w:t>
      </w:r>
      <w:r>
        <w:rPr>
          <w:rFonts w:ascii="Cambria" w:hAnsi="Cambria" w:cs="Calibri"/>
          <w:sz w:val="24"/>
          <w:szCs w:val="24"/>
          <w:lang w:val="sr-Latn-ME"/>
        </w:rPr>
        <w:t xml:space="preserve">lokalni poreski </w:t>
      </w:r>
      <w:r w:rsidR="00956E99">
        <w:rPr>
          <w:rFonts w:ascii="Cambria" w:hAnsi="Cambria" w:cs="Calibri"/>
          <w:sz w:val="24"/>
          <w:szCs w:val="24"/>
          <w:lang w:val="sr-Latn-ME"/>
        </w:rPr>
        <w:t xml:space="preserve">identifikacioni broj (tj. broj AOP-administrativna obrada podataka) radi lakše pretrage i </w:t>
      </w:r>
      <w:r>
        <w:rPr>
          <w:rFonts w:ascii="Cambria" w:hAnsi="Cambria" w:cs="Calibri"/>
          <w:sz w:val="24"/>
          <w:szCs w:val="24"/>
          <w:lang w:val="sr-Latn-ME"/>
        </w:rPr>
        <w:t xml:space="preserve">njihove </w:t>
      </w:r>
      <w:r w:rsidR="00956E99">
        <w:rPr>
          <w:rFonts w:ascii="Cambria" w:hAnsi="Cambria" w:cs="Calibri"/>
          <w:sz w:val="24"/>
          <w:szCs w:val="24"/>
          <w:lang w:val="sr-Latn-ME"/>
        </w:rPr>
        <w:t>identifikacije u bazi podataka.</w:t>
      </w:r>
    </w:p>
    <w:p w14:paraId="1CEC01D0" w14:textId="77777777" w:rsidR="00176CBA" w:rsidRDefault="00176CBA" w:rsidP="00916E48">
      <w:pPr>
        <w:spacing w:line="240" w:lineRule="auto"/>
        <w:rPr>
          <w:rFonts w:ascii="Cambria" w:hAnsi="Cambria" w:cs="Calibri"/>
          <w:sz w:val="24"/>
          <w:szCs w:val="24"/>
          <w:lang w:val="sr-Latn-ME"/>
        </w:rPr>
      </w:pPr>
    </w:p>
    <w:p w14:paraId="0F662A5C" w14:textId="53174758" w:rsidR="00176CBA" w:rsidRDefault="00176CBA" w:rsidP="00B62A91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>
        <w:rPr>
          <w:rFonts w:ascii="Cambria" w:hAnsi="Cambria" w:cs="Calibri"/>
          <w:sz w:val="24"/>
          <w:szCs w:val="24"/>
          <w:lang w:val="sr-Latn-ME"/>
        </w:rPr>
        <w:t>Član</w:t>
      </w:r>
      <w:r w:rsidR="001D6BD3">
        <w:rPr>
          <w:rFonts w:ascii="Cambria" w:hAnsi="Cambria" w:cs="Calibri"/>
          <w:sz w:val="24"/>
          <w:szCs w:val="24"/>
          <w:lang w:val="sr-Latn-ME"/>
        </w:rPr>
        <w:t xml:space="preserve"> 8</w:t>
      </w:r>
    </w:p>
    <w:p w14:paraId="26E4CC36" w14:textId="77777777" w:rsidR="00176CBA" w:rsidRPr="000962A2" w:rsidRDefault="00176CBA" w:rsidP="00176CBA">
      <w:pPr>
        <w:spacing w:line="240" w:lineRule="auto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Član 34 stav 1 mijenja se i glasi:</w:t>
      </w:r>
    </w:p>
    <w:p w14:paraId="327AFBC6" w14:textId="22D40CB9" w:rsidR="00176CBA" w:rsidRPr="000962A2" w:rsidRDefault="00176CBA" w:rsidP="00176CBA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“</w:t>
      </w:r>
      <w:r w:rsidR="003D641D">
        <w:rPr>
          <w:rFonts w:ascii="Cambria" w:hAnsi="Cambria" w:cs="Calibri"/>
          <w:sz w:val="24"/>
          <w:szCs w:val="24"/>
          <w:lang w:val="sr-Latn-ME"/>
        </w:rPr>
        <w:t>O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rgan </w:t>
      </w:r>
      <w:r w:rsidR="005720B7">
        <w:rPr>
          <w:rFonts w:ascii="Cambria" w:hAnsi="Cambria" w:cs="Calibri"/>
          <w:sz w:val="24"/>
          <w:szCs w:val="24"/>
          <w:lang w:val="sr-Latn-ME"/>
        </w:rPr>
        <w:t xml:space="preserve">nadležan za vođenje </w:t>
      </w:r>
      <w:r w:rsidRPr="000962A2">
        <w:rPr>
          <w:rFonts w:ascii="Cambria" w:hAnsi="Cambria" w:cs="Calibri"/>
          <w:sz w:val="24"/>
          <w:szCs w:val="24"/>
          <w:lang w:val="sr-Latn-ME"/>
        </w:rPr>
        <w:t>evidencij</w:t>
      </w:r>
      <w:r w:rsidR="005720B7">
        <w:rPr>
          <w:rFonts w:ascii="Cambria" w:hAnsi="Cambria" w:cs="Calibri"/>
          <w:sz w:val="24"/>
          <w:szCs w:val="24"/>
          <w:lang w:val="sr-Latn-ME"/>
        </w:rPr>
        <w:t>e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o rođenju, jedinstvenom matičnom broju građana, prebivalištu, boravištu, smrti i drugim činjenicama od značaja za porez dužan je da obavještava  poreski organ  o tim činjenicama u roku od pet radnih dana od dana njihovog nastanka ili promjene.</w:t>
      </w:r>
    </w:p>
    <w:p w14:paraId="7E2CF707" w14:textId="59CB6C75" w:rsidR="00176CBA" w:rsidRPr="004450D0" w:rsidRDefault="00176CBA" w:rsidP="00176CBA">
      <w:pPr>
        <w:spacing w:line="240" w:lineRule="auto"/>
        <w:jc w:val="center"/>
        <w:rPr>
          <w:rFonts w:ascii="Cambria" w:hAnsi="Cambria" w:cs="Calibri"/>
          <w:sz w:val="24"/>
          <w:szCs w:val="24"/>
          <w:lang w:val="sr-Latn-ME"/>
        </w:rPr>
      </w:pPr>
      <w:r w:rsidRPr="004450D0">
        <w:rPr>
          <w:rFonts w:ascii="Cambria" w:hAnsi="Cambria" w:cs="Calibri"/>
          <w:sz w:val="24"/>
          <w:szCs w:val="24"/>
          <w:lang w:val="sr-Latn-ME"/>
        </w:rPr>
        <w:t>Obrazloženje</w:t>
      </w:r>
    </w:p>
    <w:p w14:paraId="59F22488" w14:textId="28795A1D" w:rsidR="000470DC" w:rsidRPr="006E21F4" w:rsidRDefault="000470DC" w:rsidP="00176CBA">
      <w:pPr>
        <w:spacing w:line="240" w:lineRule="auto"/>
        <w:jc w:val="both"/>
        <w:rPr>
          <w:rFonts w:ascii="Cambria" w:hAnsi="Cambria" w:cs="Calibri"/>
          <w:i/>
          <w:iCs/>
          <w:sz w:val="24"/>
          <w:szCs w:val="24"/>
          <w:lang w:val="sr-Latn-ME"/>
        </w:rPr>
      </w:pP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Članom 34 stav 1 propisano je da su organi lokalne uprave koji vode matične knjige i državni organi koji vode evidenciju o prebivalištu i boravištu dužni obavještavati poreski organ o 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lastRenderedPageBreak/>
        <w:t xml:space="preserve">rođenju, smrti, prijavi ili promjeni prebivališta, odnosno boravišta građana, u roku od pet radnih dana od dana rođenja, smrti, prijave ili promjene mjesta prebivališta, odnosno </w:t>
      </w:r>
      <w:r w:rsidR="005720B7" w:rsidRPr="006E21F4">
        <w:rPr>
          <w:rFonts w:ascii="Cambria" w:hAnsi="Cambria" w:cs="Calibri"/>
          <w:i/>
          <w:iCs/>
          <w:sz w:val="24"/>
          <w:szCs w:val="24"/>
          <w:lang w:val="sr-Latn-ME"/>
        </w:rPr>
        <w:t xml:space="preserve"> </w:t>
      </w:r>
      <w:r w:rsidR="003F199D">
        <w:rPr>
          <w:rFonts w:ascii="Cambria" w:hAnsi="Cambria" w:cs="Calibri"/>
          <w:i/>
          <w:iCs/>
          <w:sz w:val="24"/>
          <w:szCs w:val="24"/>
          <w:lang w:val="sr-Latn-ME"/>
        </w:rPr>
        <w:t>bo</w:t>
      </w:r>
      <w:r w:rsidRPr="006E21F4">
        <w:rPr>
          <w:rFonts w:ascii="Cambria" w:hAnsi="Cambria" w:cs="Calibri"/>
          <w:i/>
          <w:iCs/>
          <w:sz w:val="24"/>
          <w:szCs w:val="24"/>
          <w:lang w:val="sr-Latn-ME"/>
        </w:rPr>
        <w:t>ravišta.</w:t>
      </w:r>
    </w:p>
    <w:p w14:paraId="1BBEA949" w14:textId="5AA34FCE" w:rsidR="004450D0" w:rsidRDefault="00176CBA" w:rsidP="0065516E">
      <w:pPr>
        <w:spacing w:line="240" w:lineRule="auto"/>
        <w:jc w:val="both"/>
        <w:rPr>
          <w:rFonts w:ascii="Cambria" w:hAnsi="Cambria" w:cs="Calibri"/>
          <w:sz w:val="24"/>
          <w:szCs w:val="24"/>
          <w:lang w:val="sr-Latn-ME"/>
        </w:rPr>
      </w:pPr>
      <w:r w:rsidRPr="000962A2">
        <w:rPr>
          <w:rFonts w:ascii="Cambria" w:hAnsi="Cambria" w:cs="Calibri"/>
          <w:sz w:val="24"/>
          <w:szCs w:val="24"/>
          <w:lang w:val="sr-Latn-ME"/>
        </w:rPr>
        <w:t>Lokalna nadležnost po ovom pitanju brisana je</w:t>
      </w:r>
      <w:r w:rsidR="00F55CA1">
        <w:rPr>
          <w:rFonts w:ascii="Cambria" w:hAnsi="Cambria" w:cs="Calibri"/>
          <w:sz w:val="24"/>
          <w:szCs w:val="24"/>
          <w:lang w:val="sr-Latn-ME"/>
        </w:rPr>
        <w:t xml:space="preserve"> predloženom normom</w:t>
      </w:r>
      <w:r w:rsidRPr="000962A2">
        <w:rPr>
          <w:rFonts w:ascii="Cambria" w:hAnsi="Cambria" w:cs="Calibri"/>
          <w:sz w:val="24"/>
          <w:szCs w:val="24"/>
          <w:lang w:val="sr-Latn-ME"/>
        </w:rPr>
        <w:t xml:space="preserve"> jer organi lokalne uprave nisu nadležni za vođenje matičnih registara rođenih i umrlih još od 2010. godine, kada je tu nadležnost preuzeo MUP. </w:t>
      </w:r>
    </w:p>
    <w:p w14:paraId="44B00B3F" w14:textId="77777777" w:rsidR="00A707C2" w:rsidRDefault="00A707C2" w:rsidP="0065516E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4D4E125" w14:textId="01E26338" w:rsidR="007507C3" w:rsidRDefault="007507C3" w:rsidP="0065516E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Član</w:t>
      </w:r>
      <w:r w:rsidR="00AB5AE5">
        <w:rPr>
          <w:rFonts w:ascii="Cambria" w:eastAsia="Calibri" w:hAnsi="Cambria" w:cs="Times New Roman"/>
          <w:sz w:val="24"/>
          <w:szCs w:val="24"/>
          <w:lang w:val="sr-Latn-ME"/>
        </w:rPr>
        <w:t xml:space="preserve"> 9</w:t>
      </w:r>
    </w:p>
    <w:p w14:paraId="53ABDB95" w14:textId="77777777" w:rsid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</w:pPr>
    </w:p>
    <w:p w14:paraId="2AABC36F" w14:textId="545172BF" w:rsid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7507C3"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  <w:t>Poslije člana 130 dodaje se novi član 130a koji glasi</w:t>
      </w:r>
      <w:r>
        <w:rPr>
          <w:rFonts w:ascii="Cambria" w:eastAsia="Calibri" w:hAnsi="Cambria" w:cs="Times New Roman"/>
          <w:sz w:val="24"/>
          <w:szCs w:val="24"/>
          <w:lang w:val="sr-Latn-ME"/>
        </w:rPr>
        <w:t>:</w:t>
      </w:r>
    </w:p>
    <w:p w14:paraId="31A9BBF6" w14:textId="77777777" w:rsidR="007507C3" w:rsidRP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pl-PL"/>
        </w:rPr>
      </w:pPr>
    </w:p>
    <w:p w14:paraId="1A754D65" w14:textId="18B43492" w:rsidR="007507C3" w:rsidRP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pl-PL"/>
        </w:rPr>
      </w:pPr>
      <w:r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  <w:t>„</w:t>
      </w:r>
      <w:r w:rsidRPr="007507C3"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  <w:t>Zastarelost prava na utvrđivanje, naplatu I povraćaj poreza ne teče:</w:t>
      </w:r>
    </w:p>
    <w:p w14:paraId="2126EDE4" w14:textId="77777777" w:rsidR="007507C3" w:rsidRPr="007507C3" w:rsidRDefault="007507C3" w:rsidP="007507C3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pl-PL"/>
        </w:rPr>
      </w:pPr>
      <w:r w:rsidRPr="007507C3"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  <w:t>za vrijeme od pokretanja upravnog spora do pravosnažnosti sudske odluke i</w:t>
      </w:r>
    </w:p>
    <w:p w14:paraId="6D810144" w14:textId="77777777" w:rsidR="007507C3" w:rsidRPr="007507C3" w:rsidRDefault="007507C3" w:rsidP="007507C3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pl-PL"/>
        </w:rPr>
      </w:pPr>
      <w:r w:rsidRPr="007507C3"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  <w:t>za vrijeme kada je drugim zakonom propisano da se poreski postupak ne može otpočeti, odnosno da se započeti poreski postupak prekida.</w:t>
      </w:r>
    </w:p>
    <w:p w14:paraId="5E20F5B1" w14:textId="77777777" w:rsid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</w:pPr>
    </w:p>
    <w:p w14:paraId="091A8BD0" w14:textId="3C2121F8" w:rsid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7507C3">
        <w:rPr>
          <w:rFonts w:ascii="Cambria" w:eastAsia="Calibri" w:hAnsi="Cambria" w:cs="Times New Roman"/>
          <w:sz w:val="24"/>
          <w:szCs w:val="24"/>
          <w:highlight w:val="white"/>
          <w:lang w:val="sr-Latn-ME"/>
        </w:rPr>
        <w:t>Vrijeme trajanja zastoja zastarjelosti iz stava 1 ovog člana ne računa se u apsolutni rok zastarjelosti.”   </w:t>
      </w:r>
    </w:p>
    <w:p w14:paraId="5B7DAFED" w14:textId="77777777" w:rsid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B2A6716" w14:textId="69603336" w:rsidR="004D7C48" w:rsidRDefault="004D7C48" w:rsidP="005C4FB8">
      <w:pPr>
        <w:tabs>
          <w:tab w:val="left" w:pos="0"/>
        </w:tabs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Obrazloženje</w:t>
      </w:r>
    </w:p>
    <w:p w14:paraId="5E2D4C70" w14:textId="77777777" w:rsidR="004D7C48" w:rsidRDefault="004D7C48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71F21F" w14:textId="6D5A3A6F" w:rsidR="004D7C48" w:rsidRDefault="004D7C48" w:rsidP="005C4FB8">
      <w:pPr>
        <w:tabs>
          <w:tab w:val="left" w:pos="0"/>
        </w:tabs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Ovom odredbom, analogno rješenju u Republici Srbiji, sprečava se mogućnost naplate poreza u slučaju kada pravosnažnost sudske odluke u korist poreskog organa nastupi po isteku apsolutnog roka zastare, kao što je to često slučaj</w:t>
      </w:r>
      <w:r w:rsidR="005C4FB8">
        <w:rPr>
          <w:rFonts w:ascii="Cambria" w:eastAsia="Calibri" w:hAnsi="Cambria" w:cs="Times New Roman"/>
          <w:sz w:val="24"/>
          <w:szCs w:val="24"/>
          <w:lang w:val="sr-Latn-ME"/>
        </w:rPr>
        <w:t xml:space="preserve"> i kada je drugim zakonom propisano da poreski postupak ne može početi, odnosno da se prekida.</w:t>
      </w:r>
    </w:p>
    <w:p w14:paraId="15F15AF4" w14:textId="77777777" w:rsidR="005C4FB8" w:rsidRDefault="005C4FB8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D178206" w14:textId="77777777" w:rsidR="005C4FB8" w:rsidRDefault="005C4FB8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BC80978" w14:textId="3DAE431E" w:rsidR="007507C3" w:rsidRDefault="007507C3" w:rsidP="007507C3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 xml:space="preserve">Član </w:t>
      </w:r>
      <w:r w:rsidR="005C345E">
        <w:rPr>
          <w:rFonts w:ascii="Cambria" w:eastAsia="Calibri" w:hAnsi="Cambria" w:cs="Times New Roman"/>
          <w:sz w:val="24"/>
          <w:szCs w:val="24"/>
          <w:lang w:val="sr-Latn-ME"/>
        </w:rPr>
        <w:t>10</w:t>
      </w:r>
    </w:p>
    <w:p w14:paraId="12856911" w14:textId="228E0567" w:rsidR="00BA1350" w:rsidRPr="006D207D" w:rsidRDefault="00BA1350" w:rsidP="00BA135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color w:val="FF0000"/>
          <w:kern w:val="0"/>
          <w:sz w:val="24"/>
          <w:szCs w:val="24"/>
          <w:lang w:val="sr-Latn-ME"/>
          <w14:ligatures w14:val="none"/>
        </w:rPr>
      </w:pPr>
      <w:r w:rsidRPr="005C345E">
        <w:rPr>
          <w:rFonts w:ascii="Cambria" w:eastAsia="Times New Roman" w:hAnsi="Cambria" w:cs="Calibri"/>
          <w:kern w:val="0"/>
          <w:sz w:val="24"/>
          <w:szCs w:val="24"/>
          <w:lang w:val="sr-Latn-ME"/>
          <w14:ligatures w14:val="none"/>
        </w:rPr>
        <w:t xml:space="preserve">Na postupke koji nisu pravosnažno okončani do dana stupanja na snagu ovog zakona primjenjivaće se </w:t>
      </w:r>
      <w:r w:rsidR="007E395C">
        <w:rPr>
          <w:rFonts w:ascii="Cambria" w:eastAsia="Times New Roman" w:hAnsi="Cambria" w:cs="Calibri"/>
          <w:kern w:val="0"/>
          <w:sz w:val="24"/>
          <w:szCs w:val="24"/>
          <w:lang w:val="sr-Latn-ME"/>
          <w14:ligatures w14:val="none"/>
        </w:rPr>
        <w:t>odredbe ovog zakona</w:t>
      </w:r>
      <w:r w:rsidRPr="006D207D">
        <w:rPr>
          <w:rFonts w:ascii="Cambria" w:eastAsia="Times New Roman" w:hAnsi="Cambria" w:cs="Calibri"/>
          <w:color w:val="FF0000"/>
          <w:kern w:val="0"/>
          <w:sz w:val="24"/>
          <w:szCs w:val="24"/>
          <w:lang w:val="sr-Latn-ME"/>
          <w14:ligatures w14:val="none"/>
        </w:rPr>
        <w:t>.</w:t>
      </w:r>
    </w:p>
    <w:p w14:paraId="231C68ED" w14:textId="77777777" w:rsidR="00BA1350" w:rsidRPr="006D207D" w:rsidRDefault="00BA1350" w:rsidP="00BA135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color w:val="FF0000"/>
          <w:kern w:val="0"/>
          <w:sz w:val="24"/>
          <w:szCs w:val="24"/>
          <w:lang w:val="sr-Latn-ME"/>
          <w14:ligatures w14:val="none"/>
        </w:rPr>
      </w:pPr>
    </w:p>
    <w:p w14:paraId="565F6275" w14:textId="77777777" w:rsidR="007507C3" w:rsidRPr="007E395C" w:rsidRDefault="007507C3" w:rsidP="0065516E">
      <w:pPr>
        <w:tabs>
          <w:tab w:val="left" w:pos="0"/>
        </w:tabs>
        <w:spacing w:after="0" w:line="240" w:lineRule="auto"/>
        <w:rPr>
          <w:rFonts w:ascii="Cambria" w:eastAsia="Calibri" w:hAnsi="Cambria" w:cs="Times New Roman"/>
          <w:color w:val="FF0000"/>
          <w:sz w:val="24"/>
          <w:szCs w:val="24"/>
          <w:lang w:val="sr-Latn-ME"/>
        </w:rPr>
      </w:pPr>
    </w:p>
    <w:p w14:paraId="5FB3F740" w14:textId="77777777" w:rsidR="00E93D8C" w:rsidRDefault="00E93D8C" w:rsidP="00B952A2">
      <w:pPr>
        <w:tabs>
          <w:tab w:val="left" w:pos="0"/>
        </w:tabs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</w:p>
    <w:sectPr w:rsidR="00E93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3576"/>
    <w:multiLevelType w:val="hybridMultilevel"/>
    <w:tmpl w:val="838E4AB4"/>
    <w:lvl w:ilvl="0" w:tplc="FA60CE5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5C25"/>
    <w:multiLevelType w:val="hybridMultilevel"/>
    <w:tmpl w:val="6A6E7AC0"/>
    <w:lvl w:ilvl="0" w:tplc="B9462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D268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6E42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E62A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6C20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2CCB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1628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A851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AE45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0A708CC"/>
    <w:multiLevelType w:val="hybridMultilevel"/>
    <w:tmpl w:val="3DC88352"/>
    <w:lvl w:ilvl="0" w:tplc="67B6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65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5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C9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E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4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2D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85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FE6DBC"/>
    <w:multiLevelType w:val="hybridMultilevel"/>
    <w:tmpl w:val="0914A71A"/>
    <w:lvl w:ilvl="0" w:tplc="27380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469B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ABA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F6EC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9037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9697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0031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1802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02EE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655380695">
    <w:abstractNumId w:val="0"/>
  </w:num>
  <w:num w:numId="2" w16cid:durableId="859703331">
    <w:abstractNumId w:val="1"/>
  </w:num>
  <w:num w:numId="3" w16cid:durableId="2038267676">
    <w:abstractNumId w:val="2"/>
  </w:num>
  <w:num w:numId="4" w16cid:durableId="15935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97"/>
    <w:rsid w:val="00002C20"/>
    <w:rsid w:val="00031728"/>
    <w:rsid w:val="00036F9A"/>
    <w:rsid w:val="000470DC"/>
    <w:rsid w:val="000471E7"/>
    <w:rsid w:val="000851E1"/>
    <w:rsid w:val="00097926"/>
    <w:rsid w:val="000B4E6F"/>
    <w:rsid w:val="000C33A1"/>
    <w:rsid w:val="000D5B47"/>
    <w:rsid w:val="000E142F"/>
    <w:rsid w:val="000E737D"/>
    <w:rsid w:val="000F1F96"/>
    <w:rsid w:val="00100326"/>
    <w:rsid w:val="001249D7"/>
    <w:rsid w:val="00171D60"/>
    <w:rsid w:val="00176CBA"/>
    <w:rsid w:val="001C3997"/>
    <w:rsid w:val="001C454C"/>
    <w:rsid w:val="001D6BD3"/>
    <w:rsid w:val="001D7E68"/>
    <w:rsid w:val="001E320E"/>
    <w:rsid w:val="001F1C6D"/>
    <w:rsid w:val="001F45E4"/>
    <w:rsid w:val="00210CEC"/>
    <w:rsid w:val="00265264"/>
    <w:rsid w:val="002C00DB"/>
    <w:rsid w:val="002C4A50"/>
    <w:rsid w:val="002C5274"/>
    <w:rsid w:val="002D3796"/>
    <w:rsid w:val="002E0C49"/>
    <w:rsid w:val="002F36A8"/>
    <w:rsid w:val="00303F91"/>
    <w:rsid w:val="00306142"/>
    <w:rsid w:val="00325029"/>
    <w:rsid w:val="00346F04"/>
    <w:rsid w:val="003558F1"/>
    <w:rsid w:val="00386C69"/>
    <w:rsid w:val="00390375"/>
    <w:rsid w:val="003B30AB"/>
    <w:rsid w:val="003D641D"/>
    <w:rsid w:val="003E5CC6"/>
    <w:rsid w:val="003F0089"/>
    <w:rsid w:val="003F199D"/>
    <w:rsid w:val="004042C9"/>
    <w:rsid w:val="00407495"/>
    <w:rsid w:val="004450D0"/>
    <w:rsid w:val="00445C01"/>
    <w:rsid w:val="00455051"/>
    <w:rsid w:val="00460BF0"/>
    <w:rsid w:val="00470787"/>
    <w:rsid w:val="00493CAC"/>
    <w:rsid w:val="00495B07"/>
    <w:rsid w:val="00497A8F"/>
    <w:rsid w:val="004A5291"/>
    <w:rsid w:val="004C3547"/>
    <w:rsid w:val="004D7C48"/>
    <w:rsid w:val="004E1509"/>
    <w:rsid w:val="0050270B"/>
    <w:rsid w:val="005113F2"/>
    <w:rsid w:val="005129C7"/>
    <w:rsid w:val="00541B28"/>
    <w:rsid w:val="0054626A"/>
    <w:rsid w:val="0054785A"/>
    <w:rsid w:val="005720B7"/>
    <w:rsid w:val="00596BEF"/>
    <w:rsid w:val="005B261E"/>
    <w:rsid w:val="005C345E"/>
    <w:rsid w:val="005C4FB8"/>
    <w:rsid w:val="005D6DCF"/>
    <w:rsid w:val="005E662B"/>
    <w:rsid w:val="00613F39"/>
    <w:rsid w:val="006226A6"/>
    <w:rsid w:val="006230A5"/>
    <w:rsid w:val="00632E04"/>
    <w:rsid w:val="00635577"/>
    <w:rsid w:val="0065516E"/>
    <w:rsid w:val="0067283F"/>
    <w:rsid w:val="0068539A"/>
    <w:rsid w:val="00685D32"/>
    <w:rsid w:val="00687C96"/>
    <w:rsid w:val="006B6A3E"/>
    <w:rsid w:val="006C5D4A"/>
    <w:rsid w:val="006D207D"/>
    <w:rsid w:val="006E1C94"/>
    <w:rsid w:val="006E21F4"/>
    <w:rsid w:val="006E57A5"/>
    <w:rsid w:val="007130D8"/>
    <w:rsid w:val="007142CC"/>
    <w:rsid w:val="00730764"/>
    <w:rsid w:val="007328C8"/>
    <w:rsid w:val="00732D05"/>
    <w:rsid w:val="00733342"/>
    <w:rsid w:val="007507C3"/>
    <w:rsid w:val="00774030"/>
    <w:rsid w:val="007750B4"/>
    <w:rsid w:val="0078239D"/>
    <w:rsid w:val="007C6553"/>
    <w:rsid w:val="007D3221"/>
    <w:rsid w:val="007E395C"/>
    <w:rsid w:val="007F378F"/>
    <w:rsid w:val="007F7766"/>
    <w:rsid w:val="00806D77"/>
    <w:rsid w:val="00842A6E"/>
    <w:rsid w:val="00843299"/>
    <w:rsid w:val="00861432"/>
    <w:rsid w:val="00876B7E"/>
    <w:rsid w:val="00882BF3"/>
    <w:rsid w:val="008A2BAF"/>
    <w:rsid w:val="008A5C9D"/>
    <w:rsid w:val="008A7B49"/>
    <w:rsid w:val="008B32A3"/>
    <w:rsid w:val="008B6052"/>
    <w:rsid w:val="008D0FF9"/>
    <w:rsid w:val="008E790C"/>
    <w:rsid w:val="009057BE"/>
    <w:rsid w:val="00906F6F"/>
    <w:rsid w:val="00914C0D"/>
    <w:rsid w:val="00916E48"/>
    <w:rsid w:val="00923974"/>
    <w:rsid w:val="0093515B"/>
    <w:rsid w:val="0094619B"/>
    <w:rsid w:val="009547C3"/>
    <w:rsid w:val="00956E99"/>
    <w:rsid w:val="00961BF7"/>
    <w:rsid w:val="0097460B"/>
    <w:rsid w:val="00980105"/>
    <w:rsid w:val="009B45A9"/>
    <w:rsid w:val="009D1534"/>
    <w:rsid w:val="009D4531"/>
    <w:rsid w:val="009E08C5"/>
    <w:rsid w:val="009F5334"/>
    <w:rsid w:val="00A2363A"/>
    <w:rsid w:val="00A3108F"/>
    <w:rsid w:val="00A449FC"/>
    <w:rsid w:val="00A45281"/>
    <w:rsid w:val="00A45902"/>
    <w:rsid w:val="00A50690"/>
    <w:rsid w:val="00A707C2"/>
    <w:rsid w:val="00A808FA"/>
    <w:rsid w:val="00A96D14"/>
    <w:rsid w:val="00AA4890"/>
    <w:rsid w:val="00AB5AE5"/>
    <w:rsid w:val="00AC13AE"/>
    <w:rsid w:val="00AD1E13"/>
    <w:rsid w:val="00AD7C08"/>
    <w:rsid w:val="00B04781"/>
    <w:rsid w:val="00B10C80"/>
    <w:rsid w:val="00B34482"/>
    <w:rsid w:val="00B42E47"/>
    <w:rsid w:val="00B62A91"/>
    <w:rsid w:val="00B81BFB"/>
    <w:rsid w:val="00B83F21"/>
    <w:rsid w:val="00B9097E"/>
    <w:rsid w:val="00B952A2"/>
    <w:rsid w:val="00BA1350"/>
    <w:rsid w:val="00BB43BC"/>
    <w:rsid w:val="00BC3B6A"/>
    <w:rsid w:val="00BE1D32"/>
    <w:rsid w:val="00BF7EED"/>
    <w:rsid w:val="00C0670C"/>
    <w:rsid w:val="00C12773"/>
    <w:rsid w:val="00C40937"/>
    <w:rsid w:val="00C43280"/>
    <w:rsid w:val="00C627D0"/>
    <w:rsid w:val="00C779A0"/>
    <w:rsid w:val="00C93817"/>
    <w:rsid w:val="00C96021"/>
    <w:rsid w:val="00C9788D"/>
    <w:rsid w:val="00CA311A"/>
    <w:rsid w:val="00CD2F47"/>
    <w:rsid w:val="00CF57BA"/>
    <w:rsid w:val="00D34D47"/>
    <w:rsid w:val="00D52AD8"/>
    <w:rsid w:val="00D5531F"/>
    <w:rsid w:val="00D56646"/>
    <w:rsid w:val="00D755A5"/>
    <w:rsid w:val="00D92DD5"/>
    <w:rsid w:val="00DA4327"/>
    <w:rsid w:val="00DB2042"/>
    <w:rsid w:val="00E15E71"/>
    <w:rsid w:val="00E2105F"/>
    <w:rsid w:val="00E400F1"/>
    <w:rsid w:val="00E50FCA"/>
    <w:rsid w:val="00E93D8C"/>
    <w:rsid w:val="00EA20AB"/>
    <w:rsid w:val="00EB62C8"/>
    <w:rsid w:val="00EC08ED"/>
    <w:rsid w:val="00EE65AC"/>
    <w:rsid w:val="00EE6641"/>
    <w:rsid w:val="00EF5B5E"/>
    <w:rsid w:val="00EF65E8"/>
    <w:rsid w:val="00F10B5E"/>
    <w:rsid w:val="00F33266"/>
    <w:rsid w:val="00F35A30"/>
    <w:rsid w:val="00F5245E"/>
    <w:rsid w:val="00F55CA1"/>
    <w:rsid w:val="00F64C75"/>
    <w:rsid w:val="00F667E0"/>
    <w:rsid w:val="00F77F73"/>
    <w:rsid w:val="00FA3AA2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0FFB"/>
  <w15:chartTrackingRefBased/>
  <w15:docId w15:val="{602A7E96-1ACD-4C3C-860E-BC0345C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BF3"/>
    <w:pPr>
      <w:spacing w:after="200" w:line="276" w:lineRule="auto"/>
      <w:ind w:left="720"/>
      <w:contextualSpacing/>
    </w:pPr>
    <w:rPr>
      <w:rFonts w:eastAsiaTheme="minorEastAsia"/>
      <w:kern w:val="0"/>
      <w:lang w:val="sr-Latn-M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34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540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667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2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2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Djukic</dc:creator>
  <cp:keywords/>
  <dc:description/>
  <cp:lastModifiedBy>Misela Manojlovic</cp:lastModifiedBy>
  <cp:revision>57</cp:revision>
  <dcterms:created xsi:type="dcterms:W3CDTF">2024-09-23T07:10:00Z</dcterms:created>
  <dcterms:modified xsi:type="dcterms:W3CDTF">2024-11-19T12:56:00Z</dcterms:modified>
</cp:coreProperties>
</file>